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34"/>
        <w:gridCol w:w="4221"/>
        <w:gridCol w:w="3119"/>
      </w:tblGrid>
      <w:tr w:rsidR="005C4522" w:rsidRPr="006710DB" w14:paraId="7F629CDD" w14:textId="77777777">
        <w:trPr>
          <w:trHeight w:val="97"/>
        </w:trPr>
        <w:tc>
          <w:tcPr>
            <w:tcW w:w="3434" w:type="dxa"/>
            <w:tcBorders>
              <w:top w:val="single" w:sz="4" w:space="0" w:color="auto"/>
              <w:bottom w:val="single" w:sz="4" w:space="0" w:color="auto"/>
              <w:right w:val="single" w:sz="4" w:space="0" w:color="auto"/>
            </w:tcBorders>
            <w:shd w:val="clear" w:color="auto" w:fill="A6A6A6"/>
            <w:vAlign w:val="center"/>
          </w:tcPr>
          <w:p w14:paraId="2876200E" w14:textId="77777777" w:rsidR="0026513E" w:rsidRPr="006710DB" w:rsidRDefault="00795C6B" w:rsidP="002264B8">
            <w:pPr>
              <w:pStyle w:val="Ttulo2"/>
              <w:ind w:right="72"/>
              <w:jc w:val="left"/>
              <w:rPr>
                <w:rFonts w:ascii="Verdana" w:hAnsi="Verdana" w:cs="Arial"/>
                <w:bCs/>
                <w:color w:val="FFFFFF"/>
                <w:sz w:val="22"/>
                <w:szCs w:val="22"/>
              </w:rPr>
            </w:pPr>
            <w:r w:rsidRPr="006710DB">
              <w:rPr>
                <w:rFonts w:ascii="Verdana" w:hAnsi="Verdana" w:cs="Arial"/>
                <w:color w:val="FFFFFF"/>
                <w:sz w:val="22"/>
                <w:szCs w:val="22"/>
                <w:lang w:val="es-CO"/>
              </w:rPr>
              <w:t>Entidad</w:t>
            </w:r>
            <w:r w:rsidR="00086B16" w:rsidRPr="006710DB">
              <w:rPr>
                <w:rFonts w:ascii="Verdana" w:hAnsi="Verdana" w:cs="Arial"/>
                <w:color w:val="FFFFFF"/>
                <w:sz w:val="22"/>
                <w:szCs w:val="22"/>
                <w:lang w:val="es-CO"/>
              </w:rPr>
              <w:t xml:space="preserve"> </w:t>
            </w:r>
            <w:r w:rsidRPr="006710DB">
              <w:rPr>
                <w:rFonts w:ascii="Verdana" w:hAnsi="Verdana" w:cs="Arial"/>
                <w:color w:val="FFFFFF"/>
                <w:sz w:val="22"/>
                <w:szCs w:val="22"/>
                <w:lang w:val="es-CO"/>
              </w:rPr>
              <w:t>originadora</w:t>
            </w:r>
            <w:r w:rsidR="00293F29" w:rsidRPr="006710DB">
              <w:rPr>
                <w:rFonts w:ascii="Verdana" w:hAnsi="Verdana"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56B88211" w14:textId="77777777" w:rsidR="0026513E" w:rsidRPr="002506E8" w:rsidRDefault="00BF29A1" w:rsidP="00795C6B">
            <w:pPr>
              <w:pStyle w:val="Ttulo2"/>
              <w:ind w:left="72" w:right="72"/>
              <w:jc w:val="left"/>
              <w:rPr>
                <w:rFonts w:ascii="Verdana" w:hAnsi="Verdana" w:cs="Arial"/>
                <w:b w:val="0"/>
                <w:i/>
                <w:sz w:val="22"/>
                <w:szCs w:val="22"/>
              </w:rPr>
            </w:pPr>
            <w:r w:rsidRPr="002506E8">
              <w:rPr>
                <w:rFonts w:ascii="Verdana" w:hAnsi="Verdana" w:cs="Arial"/>
                <w:b w:val="0"/>
                <w:i/>
                <w:sz w:val="22"/>
                <w:szCs w:val="22"/>
              </w:rPr>
              <w:t>Superintendencia Financiera de Colombia</w:t>
            </w:r>
          </w:p>
        </w:tc>
      </w:tr>
      <w:tr w:rsidR="005C4522" w:rsidRPr="006710DB" w14:paraId="68E45329" w14:textId="77777777">
        <w:trPr>
          <w:trHeight w:val="97"/>
        </w:trPr>
        <w:tc>
          <w:tcPr>
            <w:tcW w:w="3434" w:type="dxa"/>
            <w:tcBorders>
              <w:top w:val="single" w:sz="4" w:space="0" w:color="auto"/>
              <w:bottom w:val="single" w:sz="4" w:space="0" w:color="auto"/>
              <w:right w:val="single" w:sz="4" w:space="0" w:color="auto"/>
            </w:tcBorders>
            <w:shd w:val="clear" w:color="auto" w:fill="A6A6A6"/>
            <w:vAlign w:val="center"/>
          </w:tcPr>
          <w:p w14:paraId="0528D090" w14:textId="77777777" w:rsidR="00C47F73" w:rsidRPr="006710DB" w:rsidRDefault="0026513E" w:rsidP="002264B8">
            <w:pPr>
              <w:pStyle w:val="Ttulo2"/>
              <w:ind w:right="72"/>
              <w:jc w:val="left"/>
              <w:rPr>
                <w:rFonts w:ascii="Verdana" w:hAnsi="Verdana" w:cs="Arial"/>
                <w:bCs/>
                <w:color w:val="FFFFFF"/>
                <w:sz w:val="22"/>
                <w:szCs w:val="22"/>
              </w:rPr>
            </w:pPr>
            <w:r w:rsidRPr="006710DB">
              <w:rPr>
                <w:rFonts w:ascii="Verdana" w:hAnsi="Verdana" w:cs="Arial"/>
                <w:bCs/>
                <w:color w:val="FFFFFF"/>
                <w:sz w:val="22"/>
                <w:szCs w:val="22"/>
              </w:rPr>
              <w:t>Fecha</w:t>
            </w:r>
            <w:r w:rsidR="00BB545F" w:rsidRPr="006710DB">
              <w:rPr>
                <w:rFonts w:ascii="Verdana" w:hAnsi="Verdana" w:cs="Arial"/>
                <w:bCs/>
                <w:color w:val="FFFFFF"/>
                <w:sz w:val="22"/>
                <w:szCs w:val="22"/>
              </w:rPr>
              <w:t xml:space="preserve"> (</w:t>
            </w:r>
            <w:proofErr w:type="spellStart"/>
            <w:r w:rsidR="00BB545F" w:rsidRPr="006710DB">
              <w:rPr>
                <w:rFonts w:ascii="Verdana" w:hAnsi="Verdana" w:cs="Arial"/>
                <w:bCs/>
                <w:color w:val="FFFFFF"/>
                <w:sz w:val="22"/>
                <w:szCs w:val="22"/>
              </w:rPr>
              <w:t>dd</w:t>
            </w:r>
            <w:proofErr w:type="spellEnd"/>
            <w:r w:rsidR="00BB545F" w:rsidRPr="006710DB">
              <w:rPr>
                <w:rFonts w:ascii="Verdana" w:hAnsi="Verdana" w:cs="Arial"/>
                <w:bCs/>
                <w:color w:val="FFFFFF"/>
                <w:sz w:val="22"/>
                <w:szCs w:val="22"/>
              </w:rPr>
              <w:t>/mm/</w:t>
            </w:r>
            <w:proofErr w:type="spellStart"/>
            <w:r w:rsidR="00BB545F" w:rsidRPr="006710DB">
              <w:rPr>
                <w:rFonts w:ascii="Verdana" w:hAnsi="Verdana" w:cs="Arial"/>
                <w:bCs/>
                <w:color w:val="FFFFFF"/>
                <w:sz w:val="22"/>
                <w:szCs w:val="22"/>
              </w:rPr>
              <w:t>aa</w:t>
            </w:r>
            <w:proofErr w:type="spellEnd"/>
            <w:r w:rsidR="00BB545F" w:rsidRPr="006710DB">
              <w:rPr>
                <w:rFonts w:ascii="Verdana" w:hAnsi="Verdana" w:cs="Arial"/>
                <w:bCs/>
                <w:color w:val="FFFFFF"/>
                <w:sz w:val="22"/>
                <w:szCs w:val="22"/>
              </w:rPr>
              <w:t>)</w:t>
            </w:r>
            <w:r w:rsidR="00293F29" w:rsidRPr="006710DB">
              <w:rPr>
                <w:rFonts w:ascii="Verdana" w:hAnsi="Verdana"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09D5C49C" w14:textId="2FEB156B" w:rsidR="00C47F73" w:rsidRPr="006710DB" w:rsidRDefault="00EC0FF4" w:rsidP="005F30C3">
            <w:pPr>
              <w:pStyle w:val="Ttulo2"/>
              <w:ind w:left="72" w:right="72"/>
              <w:jc w:val="left"/>
              <w:rPr>
                <w:rFonts w:ascii="Verdana" w:hAnsi="Verdana" w:cs="Arial"/>
                <w:b w:val="0"/>
                <w:sz w:val="22"/>
                <w:szCs w:val="22"/>
              </w:rPr>
            </w:pPr>
            <w:r w:rsidRPr="006710DB">
              <w:rPr>
                <w:rFonts w:ascii="Verdana" w:hAnsi="Verdana" w:cs="Arial"/>
                <w:b w:val="0"/>
                <w:i/>
                <w:color w:val="808080"/>
                <w:sz w:val="22"/>
                <w:szCs w:val="22"/>
              </w:rPr>
              <w:t xml:space="preserve">Indique la fecha en que se presenta a Secretaría Jurídica de Presidencia </w:t>
            </w:r>
          </w:p>
        </w:tc>
      </w:tr>
      <w:tr w:rsidR="005C4522" w:rsidRPr="006710DB" w14:paraId="11D62AF7" w14:textId="77777777">
        <w:trPr>
          <w:trHeight w:val="97"/>
        </w:trPr>
        <w:tc>
          <w:tcPr>
            <w:tcW w:w="3434" w:type="dxa"/>
            <w:tcBorders>
              <w:top w:val="single" w:sz="4" w:space="0" w:color="auto"/>
              <w:bottom w:val="single" w:sz="4" w:space="0" w:color="auto"/>
              <w:right w:val="single" w:sz="4" w:space="0" w:color="auto"/>
            </w:tcBorders>
            <w:shd w:val="clear" w:color="auto" w:fill="A6A6A6"/>
            <w:vAlign w:val="center"/>
          </w:tcPr>
          <w:p w14:paraId="1A573878" w14:textId="77777777" w:rsidR="0059316B" w:rsidRPr="006710DB" w:rsidRDefault="00A55DB6" w:rsidP="002264B8">
            <w:pPr>
              <w:pStyle w:val="Ttulo2"/>
              <w:ind w:right="72"/>
              <w:jc w:val="left"/>
              <w:rPr>
                <w:rFonts w:ascii="Verdana" w:hAnsi="Verdana" w:cs="Arial"/>
                <w:bCs/>
                <w:color w:val="FFFFFF"/>
                <w:sz w:val="22"/>
                <w:szCs w:val="22"/>
              </w:rPr>
            </w:pPr>
            <w:r w:rsidRPr="006710DB">
              <w:rPr>
                <w:rFonts w:ascii="Verdana" w:hAnsi="Verdana" w:cs="Arial"/>
                <w:bCs/>
                <w:color w:val="FFFFFF"/>
                <w:sz w:val="22"/>
                <w:szCs w:val="22"/>
              </w:rPr>
              <w:t xml:space="preserve">Proyecto de </w:t>
            </w:r>
            <w:r w:rsidR="00587695" w:rsidRPr="006710DB">
              <w:rPr>
                <w:rFonts w:ascii="Verdana" w:hAnsi="Verdana" w:cs="Arial"/>
                <w:bCs/>
                <w:color w:val="FFFFFF"/>
                <w:sz w:val="22"/>
                <w:szCs w:val="22"/>
              </w:rPr>
              <w:t>D</w:t>
            </w:r>
            <w:r w:rsidRPr="006710DB">
              <w:rPr>
                <w:rFonts w:ascii="Verdana" w:hAnsi="Verdana" w:cs="Arial"/>
                <w:bCs/>
                <w:color w:val="FFFFFF"/>
                <w:sz w:val="22"/>
                <w:szCs w:val="22"/>
              </w:rPr>
              <w:t>ecreto</w:t>
            </w:r>
            <w:r w:rsidR="00795C6B" w:rsidRPr="006710DB">
              <w:rPr>
                <w:rFonts w:ascii="Verdana" w:hAnsi="Verdana" w:cs="Arial"/>
                <w:bCs/>
                <w:color w:val="FFFFFF"/>
                <w:sz w:val="22"/>
                <w:szCs w:val="22"/>
              </w:rPr>
              <w:t>/Resolución</w:t>
            </w:r>
            <w:r w:rsidR="00293F29" w:rsidRPr="006710DB">
              <w:rPr>
                <w:rFonts w:ascii="Verdana" w:hAnsi="Verdana"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vAlign w:val="center"/>
          </w:tcPr>
          <w:p w14:paraId="5F246226" w14:textId="6D3EE60F" w:rsidR="001F238A" w:rsidRPr="006710DB" w:rsidRDefault="002506E8" w:rsidP="005F30C3">
            <w:pPr>
              <w:pStyle w:val="Ttulo2"/>
              <w:ind w:left="72" w:right="72"/>
              <w:jc w:val="left"/>
              <w:rPr>
                <w:rFonts w:ascii="Verdana" w:hAnsi="Verdana" w:cs="Arial"/>
                <w:bCs/>
                <w:spacing w:val="-3"/>
                <w:sz w:val="22"/>
                <w:szCs w:val="22"/>
              </w:rPr>
            </w:pPr>
            <w:r w:rsidRPr="00345F4B">
              <w:rPr>
                <w:rFonts w:ascii="Verdana" w:hAnsi="Verdana" w:cs="Arial"/>
                <w:i/>
                <w:sz w:val="22"/>
                <w:szCs w:val="22"/>
              </w:rPr>
              <w:t>Por medio de la cual se dictan instrucciones para la gestión del riesgo de conductas de afectación a los consumidores financieros (GERCO)</w:t>
            </w:r>
          </w:p>
        </w:tc>
      </w:tr>
      <w:tr w:rsidR="00DF60FD" w:rsidRPr="006710DB" w14:paraId="68022AC6" w14:textId="77777777" w:rsidTr="0075705D">
        <w:trPr>
          <w:trHeight w:val="674"/>
        </w:trPr>
        <w:tc>
          <w:tcPr>
            <w:tcW w:w="10774" w:type="dxa"/>
            <w:gridSpan w:val="3"/>
            <w:tcBorders>
              <w:top w:val="single" w:sz="4" w:space="0" w:color="auto"/>
            </w:tcBorders>
            <w:shd w:val="clear" w:color="auto" w:fill="FFFFFF"/>
            <w:vAlign w:val="center"/>
          </w:tcPr>
          <w:p w14:paraId="603B136E" w14:textId="77777777" w:rsidR="006315B4" w:rsidRPr="006710DB" w:rsidRDefault="006315B4" w:rsidP="00A425E9">
            <w:pPr>
              <w:autoSpaceDE w:val="0"/>
              <w:autoSpaceDN w:val="0"/>
              <w:adjustRightInd w:val="0"/>
              <w:jc w:val="both"/>
              <w:rPr>
                <w:rFonts w:ascii="Verdana" w:eastAsia="Calibri" w:hAnsi="Verdana" w:cs="Arial"/>
                <w:sz w:val="22"/>
                <w:szCs w:val="22"/>
                <w:lang w:val="es-CO" w:eastAsia="en-US"/>
              </w:rPr>
            </w:pPr>
          </w:p>
          <w:p w14:paraId="55654AA9" w14:textId="77777777" w:rsidR="006F0F5C" w:rsidRPr="006710DB" w:rsidRDefault="006F0F5C" w:rsidP="006F0F5C">
            <w:pPr>
              <w:jc w:val="both"/>
              <w:rPr>
                <w:rFonts w:ascii="Verdana" w:hAnsi="Verdana" w:cs="Arial"/>
                <w:b/>
                <w:color w:val="000000"/>
                <w:sz w:val="22"/>
                <w:szCs w:val="22"/>
                <w:lang w:val="es-CO"/>
              </w:rPr>
            </w:pPr>
          </w:p>
          <w:p w14:paraId="29EE1E39" w14:textId="77777777" w:rsidR="006F0F5C" w:rsidRPr="006710DB" w:rsidRDefault="006F0F5C" w:rsidP="006F0F5C">
            <w:pPr>
              <w:numPr>
                <w:ilvl w:val="0"/>
                <w:numId w:val="5"/>
              </w:numPr>
              <w:jc w:val="both"/>
              <w:rPr>
                <w:rFonts w:ascii="Verdana" w:hAnsi="Verdana" w:cs="Arial"/>
                <w:b/>
                <w:color w:val="000000"/>
                <w:sz w:val="22"/>
                <w:szCs w:val="22"/>
                <w:lang w:val="es-CO"/>
              </w:rPr>
            </w:pPr>
            <w:r w:rsidRPr="006710DB">
              <w:rPr>
                <w:rFonts w:ascii="Verdana" w:hAnsi="Verdana" w:cs="Arial"/>
                <w:b/>
                <w:color w:val="000000"/>
                <w:sz w:val="22"/>
                <w:szCs w:val="22"/>
                <w:lang w:val="es-CO"/>
              </w:rPr>
              <w:t>ANTECEDENTES Y RAZONES DE OPORTUNIDAD Y CONVENIENCIA QUE JUSTIFICAN SU EXPEDICIÓN</w:t>
            </w:r>
          </w:p>
          <w:p w14:paraId="2F0A289B" w14:textId="77777777" w:rsidR="006F0F5C" w:rsidRPr="006710DB" w:rsidRDefault="006F0F5C" w:rsidP="006F0F5C">
            <w:pPr>
              <w:jc w:val="both"/>
              <w:rPr>
                <w:rFonts w:ascii="Verdana" w:hAnsi="Verdana" w:cs="Arial"/>
                <w:b/>
                <w:color w:val="000000"/>
                <w:sz w:val="22"/>
                <w:szCs w:val="22"/>
                <w:lang w:val="es-CO"/>
              </w:rPr>
            </w:pPr>
          </w:p>
          <w:p w14:paraId="33C4891E" w14:textId="77777777" w:rsidR="00667381" w:rsidRPr="006710DB" w:rsidRDefault="00667381" w:rsidP="00667381">
            <w:pPr>
              <w:numPr>
                <w:ilvl w:val="1"/>
                <w:numId w:val="17"/>
              </w:numPr>
              <w:autoSpaceDE w:val="0"/>
              <w:autoSpaceDN w:val="0"/>
              <w:adjustRightInd w:val="0"/>
              <w:jc w:val="both"/>
              <w:rPr>
                <w:rFonts w:ascii="Verdana" w:hAnsi="Verdana"/>
                <w:b/>
                <w:bCs/>
                <w:sz w:val="22"/>
                <w:szCs w:val="22"/>
                <w:lang w:val="es-CO"/>
              </w:rPr>
            </w:pPr>
            <w:r w:rsidRPr="006710DB">
              <w:rPr>
                <w:rFonts w:ascii="Verdana" w:hAnsi="Verdana"/>
                <w:b/>
                <w:bCs/>
                <w:sz w:val="22"/>
                <w:szCs w:val="22"/>
                <w:lang w:val="es-CO"/>
              </w:rPr>
              <w:t>Antecedentes</w:t>
            </w:r>
          </w:p>
          <w:p w14:paraId="15CD1054" w14:textId="77777777" w:rsidR="00667381" w:rsidRPr="006710DB" w:rsidRDefault="00667381" w:rsidP="00667381">
            <w:pPr>
              <w:autoSpaceDE w:val="0"/>
              <w:autoSpaceDN w:val="0"/>
              <w:adjustRightInd w:val="0"/>
              <w:ind w:left="360"/>
              <w:jc w:val="both"/>
              <w:rPr>
                <w:rFonts w:ascii="Verdana" w:hAnsi="Verdana"/>
                <w:sz w:val="22"/>
                <w:szCs w:val="22"/>
                <w:lang w:val="es-CO"/>
              </w:rPr>
            </w:pPr>
          </w:p>
          <w:p w14:paraId="76F8247A" w14:textId="77777777" w:rsidR="006F0F5C" w:rsidRPr="006710DB" w:rsidRDefault="006F0F5C" w:rsidP="00667381">
            <w:pPr>
              <w:autoSpaceDE w:val="0"/>
              <w:autoSpaceDN w:val="0"/>
              <w:adjustRightInd w:val="0"/>
              <w:jc w:val="both"/>
              <w:rPr>
                <w:rFonts w:ascii="Verdana" w:hAnsi="Verdana"/>
                <w:sz w:val="22"/>
                <w:szCs w:val="22"/>
                <w:lang w:val="es-CO"/>
              </w:rPr>
            </w:pPr>
            <w:r w:rsidRPr="006710DB">
              <w:rPr>
                <w:rFonts w:ascii="Verdana" w:hAnsi="Verdana"/>
                <w:sz w:val="22"/>
                <w:szCs w:val="22"/>
                <w:lang w:val="es-CO"/>
              </w:rPr>
              <w:t>La Superintendencia Financiera de Colombia ha venido fortaleciendo su enfoque de supervisión preventiva frente a los riesgos que pueden derivarse de las conductas de las entidades vigiladas, sus administradores, empleados y terceros que actúen en su nombre, particularmente cuando dichas conductas pueden afectar los derechos de los consumidores financieros, la transparencia en la prestación de productos y servicios financieros o la integridad de los mercados.</w:t>
            </w:r>
          </w:p>
          <w:p w14:paraId="289C64D7" w14:textId="77777777" w:rsidR="006F0F5C" w:rsidRPr="006710DB" w:rsidRDefault="006F0F5C" w:rsidP="006F0F5C">
            <w:pPr>
              <w:autoSpaceDE w:val="0"/>
              <w:autoSpaceDN w:val="0"/>
              <w:adjustRightInd w:val="0"/>
              <w:jc w:val="both"/>
              <w:rPr>
                <w:rFonts w:ascii="Verdana" w:hAnsi="Verdana"/>
                <w:sz w:val="22"/>
                <w:szCs w:val="22"/>
                <w:lang w:val="es-CO"/>
              </w:rPr>
            </w:pPr>
          </w:p>
          <w:p w14:paraId="12D56426" w14:textId="307C0EFE" w:rsidR="0078252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En desarrollo de ese propósito, la Entidad ha expedido documentos técnicos y herramientas de supervisión orientadas a promover una mejor comprensión del riesgo de conductas</w:t>
            </w:r>
            <w:r w:rsidR="002506E8">
              <w:rPr>
                <w:rFonts w:ascii="Verdana" w:hAnsi="Verdana"/>
                <w:sz w:val="22"/>
                <w:szCs w:val="22"/>
                <w:lang w:val="es-CO"/>
              </w:rPr>
              <w:t xml:space="preserve"> de afectación a los consumidores financieros</w:t>
            </w:r>
            <w:r w:rsidRPr="006710DB">
              <w:rPr>
                <w:rFonts w:ascii="Verdana" w:hAnsi="Verdana"/>
                <w:sz w:val="22"/>
                <w:szCs w:val="22"/>
                <w:lang w:val="es-CO"/>
              </w:rPr>
              <w:t xml:space="preserve"> y de l</w:t>
            </w:r>
            <w:r w:rsidR="0078252C" w:rsidRPr="006710DB">
              <w:rPr>
                <w:rFonts w:ascii="Verdana" w:hAnsi="Verdana"/>
                <w:sz w:val="22"/>
                <w:szCs w:val="22"/>
                <w:lang w:val="es-CO"/>
              </w:rPr>
              <w:t>o</w:t>
            </w:r>
            <w:r w:rsidRPr="006710DB">
              <w:rPr>
                <w:rFonts w:ascii="Verdana" w:hAnsi="Verdana"/>
                <w:sz w:val="22"/>
                <w:szCs w:val="22"/>
                <w:lang w:val="es-CO"/>
              </w:rPr>
              <w:t xml:space="preserve">s </w:t>
            </w:r>
            <w:r w:rsidR="0078252C" w:rsidRPr="006710DB">
              <w:rPr>
                <w:rFonts w:ascii="Verdana" w:hAnsi="Verdana"/>
                <w:sz w:val="22"/>
                <w:szCs w:val="22"/>
              </w:rPr>
              <w:t>criterios de supervisión asociados a su gestión</w:t>
            </w:r>
            <w:r w:rsidRPr="006710DB">
              <w:rPr>
                <w:rFonts w:ascii="Verdana" w:hAnsi="Verdana"/>
                <w:sz w:val="22"/>
                <w:szCs w:val="22"/>
                <w:lang w:val="es-CO"/>
              </w:rPr>
              <w:t xml:space="preserve">. </w:t>
            </w:r>
          </w:p>
          <w:p w14:paraId="1F6FC9B1" w14:textId="77777777" w:rsidR="0078252C" w:rsidRPr="006710DB" w:rsidRDefault="0078252C" w:rsidP="006F0F5C">
            <w:pPr>
              <w:autoSpaceDE w:val="0"/>
              <w:autoSpaceDN w:val="0"/>
              <w:adjustRightInd w:val="0"/>
              <w:jc w:val="both"/>
              <w:rPr>
                <w:rFonts w:ascii="Verdana" w:hAnsi="Verdana"/>
                <w:sz w:val="22"/>
                <w:szCs w:val="22"/>
                <w:lang w:val="es-CO"/>
              </w:rPr>
            </w:pPr>
          </w:p>
          <w:p w14:paraId="1E995482" w14:textId="77777777" w:rsidR="006F0F5C" w:rsidRPr="006710DB" w:rsidRDefault="0078252C" w:rsidP="006F0F5C">
            <w:pPr>
              <w:autoSpaceDE w:val="0"/>
              <w:autoSpaceDN w:val="0"/>
              <w:adjustRightInd w:val="0"/>
              <w:jc w:val="both"/>
              <w:rPr>
                <w:rFonts w:ascii="Verdana" w:hAnsi="Verdana"/>
                <w:sz w:val="22"/>
                <w:szCs w:val="22"/>
              </w:rPr>
            </w:pPr>
            <w:r w:rsidRPr="006710DB">
              <w:rPr>
                <w:rFonts w:ascii="Verdana" w:hAnsi="Verdana"/>
                <w:sz w:val="22"/>
                <w:szCs w:val="22"/>
              </w:rPr>
              <w:t>Entre estos instrumentos se encuentran el Documento Técnico sobre Supervisión del Riesgo de Conductas y la Guía Externa para la Supervisión del Riesgo de Conductas, los cuales han contribuido a orientar el diálogo supervisor y a identificar buenas prácticas en la industria.</w:t>
            </w:r>
          </w:p>
          <w:p w14:paraId="7B4BC475" w14:textId="77777777" w:rsidR="0078252C" w:rsidRPr="006710DB" w:rsidRDefault="0078252C" w:rsidP="006F0F5C">
            <w:pPr>
              <w:autoSpaceDE w:val="0"/>
              <w:autoSpaceDN w:val="0"/>
              <w:adjustRightInd w:val="0"/>
              <w:jc w:val="both"/>
              <w:rPr>
                <w:rFonts w:ascii="Verdana" w:hAnsi="Verdana"/>
                <w:sz w:val="22"/>
                <w:szCs w:val="22"/>
                <w:lang w:val="es-CO"/>
              </w:rPr>
            </w:pPr>
          </w:p>
          <w:p w14:paraId="24BCB66A" w14:textId="77777777"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No obstante, la experiencia supervisora ha evidenciado que existen diferencias relevantes en la forma como las entidades vigiladas comprenden, incorporan y gestionan este riesgo. También se han identificado interpretaciones diversas sobre su relación con otros sistemas, procesos y mecanismos internos, en especial con el Sistema de Atención al Consumidor Financiero – SAC.</w:t>
            </w:r>
          </w:p>
          <w:p w14:paraId="76AEC85C" w14:textId="77777777" w:rsidR="006F0F5C" w:rsidRPr="006710DB" w:rsidRDefault="006F0F5C" w:rsidP="006F0F5C">
            <w:pPr>
              <w:autoSpaceDE w:val="0"/>
              <w:autoSpaceDN w:val="0"/>
              <w:adjustRightInd w:val="0"/>
              <w:jc w:val="both"/>
              <w:rPr>
                <w:rFonts w:ascii="Verdana" w:hAnsi="Verdana"/>
                <w:sz w:val="22"/>
                <w:szCs w:val="22"/>
                <w:lang w:val="es-CO"/>
              </w:rPr>
            </w:pPr>
          </w:p>
          <w:p w14:paraId="2A49790B" w14:textId="210CC4BD"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 xml:space="preserve">En ese contexto, se considera oportuno avanzar hacia una regulación general que establezca instrucciones claras sobre la Gestión del Riesgo de Conductas </w:t>
            </w:r>
            <w:r w:rsidR="002506E8">
              <w:rPr>
                <w:rFonts w:ascii="Verdana" w:hAnsi="Verdana"/>
                <w:sz w:val="22"/>
                <w:szCs w:val="22"/>
                <w:lang w:val="es-CO"/>
              </w:rPr>
              <w:t>de Afectación a los Consumidores Financieros (</w:t>
            </w:r>
            <w:r w:rsidRPr="006710DB">
              <w:rPr>
                <w:rFonts w:ascii="Verdana" w:hAnsi="Verdana"/>
                <w:sz w:val="22"/>
                <w:szCs w:val="22"/>
                <w:lang w:val="es-CO"/>
              </w:rPr>
              <w:t>GERCO</w:t>
            </w:r>
            <w:r w:rsidR="002506E8">
              <w:rPr>
                <w:rFonts w:ascii="Verdana" w:hAnsi="Verdana"/>
                <w:sz w:val="22"/>
                <w:szCs w:val="22"/>
                <w:lang w:val="es-CO"/>
              </w:rPr>
              <w:t>)</w:t>
            </w:r>
            <w:r w:rsidRPr="006710DB">
              <w:rPr>
                <w:rFonts w:ascii="Verdana" w:hAnsi="Verdana"/>
                <w:sz w:val="22"/>
                <w:szCs w:val="22"/>
                <w:lang w:val="es-CO"/>
              </w:rPr>
              <w:t>, dentro de un marco proporcional y articulado con los sistemas de administración de riesgos, el sistema de control interno, el gobierno corporativo y los demás esquemas de gestión existentes en las entidades vigiladas.</w:t>
            </w:r>
          </w:p>
          <w:p w14:paraId="5FB56C24" w14:textId="77777777" w:rsidR="006F0F5C" w:rsidRPr="006710DB" w:rsidRDefault="006F0F5C" w:rsidP="006F0F5C">
            <w:pPr>
              <w:autoSpaceDE w:val="0"/>
              <w:autoSpaceDN w:val="0"/>
              <w:adjustRightInd w:val="0"/>
              <w:jc w:val="both"/>
              <w:rPr>
                <w:rFonts w:ascii="Verdana" w:hAnsi="Verdana"/>
                <w:sz w:val="22"/>
                <w:szCs w:val="22"/>
                <w:lang w:val="es-CO"/>
              </w:rPr>
            </w:pPr>
          </w:p>
          <w:p w14:paraId="4E02966A" w14:textId="67A85B0A"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La propuesta normativa no busca desconocer las prácticas que algunas entidades ya han desarrollado en esta materia ni trasladar de manera automática documentos de supervisión al plano regulatorio. Su finalidad es incorporar en la Circular Básica Financiera instrucciones generales y exigibles que permitan contar con un marco común</w:t>
            </w:r>
            <w:r w:rsidR="007E2443">
              <w:rPr>
                <w:rFonts w:ascii="Verdana" w:hAnsi="Verdana"/>
                <w:sz w:val="22"/>
                <w:szCs w:val="22"/>
                <w:lang w:val="es-CO"/>
              </w:rPr>
              <w:t xml:space="preserve"> para la </w:t>
            </w:r>
            <w:r w:rsidR="007E2443" w:rsidRPr="007E2443">
              <w:rPr>
                <w:rFonts w:ascii="Verdana" w:hAnsi="Verdana"/>
                <w:sz w:val="22"/>
                <w:szCs w:val="22"/>
              </w:rPr>
              <w:t>identificación, evaluación y</w:t>
            </w:r>
            <w:r w:rsidR="002506E8">
              <w:rPr>
                <w:rFonts w:ascii="Verdana" w:hAnsi="Verdana"/>
                <w:sz w:val="22"/>
                <w:szCs w:val="22"/>
              </w:rPr>
              <w:t xml:space="preserve"> seguimiento</w:t>
            </w:r>
            <w:r w:rsidR="007E2443" w:rsidRPr="007E2443">
              <w:rPr>
                <w:rFonts w:ascii="Verdana" w:hAnsi="Verdana"/>
                <w:sz w:val="22"/>
                <w:szCs w:val="22"/>
              </w:rPr>
              <w:t>, control</w:t>
            </w:r>
            <w:r w:rsidR="002506E8">
              <w:rPr>
                <w:rFonts w:ascii="Verdana" w:hAnsi="Verdana"/>
                <w:sz w:val="22"/>
                <w:szCs w:val="22"/>
              </w:rPr>
              <w:t xml:space="preserve"> y</w:t>
            </w:r>
            <w:r w:rsidR="007E2443" w:rsidRPr="007E2443">
              <w:rPr>
                <w:rFonts w:ascii="Verdana" w:hAnsi="Verdana"/>
                <w:sz w:val="22"/>
                <w:szCs w:val="22"/>
              </w:rPr>
              <w:t xml:space="preserve"> monitoreo de</w:t>
            </w:r>
            <w:r w:rsidR="002506E8">
              <w:rPr>
                <w:rFonts w:ascii="Verdana" w:hAnsi="Verdana"/>
                <w:sz w:val="22"/>
                <w:szCs w:val="22"/>
              </w:rPr>
              <w:t xml:space="preserve"> dicho</w:t>
            </w:r>
            <w:r w:rsidR="007E2443" w:rsidRPr="007E2443">
              <w:rPr>
                <w:rFonts w:ascii="Verdana" w:hAnsi="Verdana"/>
                <w:sz w:val="22"/>
                <w:szCs w:val="22"/>
              </w:rPr>
              <w:t xml:space="preserve"> </w:t>
            </w:r>
            <w:proofErr w:type="gramStart"/>
            <w:r w:rsidR="007E2443" w:rsidRPr="007E2443">
              <w:rPr>
                <w:rFonts w:ascii="Verdana" w:hAnsi="Verdana"/>
                <w:sz w:val="22"/>
                <w:szCs w:val="22"/>
              </w:rPr>
              <w:t>riesgo .</w:t>
            </w:r>
            <w:proofErr w:type="gramEnd"/>
          </w:p>
          <w:p w14:paraId="4DCD5C42" w14:textId="77777777" w:rsidR="007E2443" w:rsidRPr="006710DB" w:rsidRDefault="007E2443" w:rsidP="006F0F5C">
            <w:pPr>
              <w:autoSpaceDE w:val="0"/>
              <w:autoSpaceDN w:val="0"/>
              <w:adjustRightInd w:val="0"/>
              <w:jc w:val="both"/>
              <w:rPr>
                <w:rFonts w:ascii="Verdana" w:hAnsi="Verdana"/>
                <w:sz w:val="22"/>
                <w:szCs w:val="22"/>
                <w:lang w:val="es-CO"/>
              </w:rPr>
            </w:pPr>
          </w:p>
          <w:p w14:paraId="5A59349B" w14:textId="77777777" w:rsidR="006F0F5C" w:rsidRPr="006710DB" w:rsidRDefault="00667381" w:rsidP="00667381">
            <w:pPr>
              <w:numPr>
                <w:ilvl w:val="1"/>
                <w:numId w:val="17"/>
              </w:numPr>
              <w:jc w:val="both"/>
              <w:rPr>
                <w:rFonts w:ascii="Verdana" w:hAnsi="Verdana" w:cs="Arial"/>
                <w:b/>
                <w:color w:val="000000"/>
                <w:sz w:val="22"/>
                <w:szCs w:val="22"/>
                <w:lang w:val="es-CO"/>
              </w:rPr>
            </w:pPr>
            <w:r w:rsidRPr="006710DB">
              <w:rPr>
                <w:rFonts w:ascii="Verdana" w:hAnsi="Verdana" w:cs="Arial"/>
                <w:b/>
                <w:color w:val="000000"/>
                <w:sz w:val="22"/>
                <w:szCs w:val="22"/>
                <w:lang w:val="es-CO"/>
              </w:rPr>
              <w:t>Objetivo de la regulación</w:t>
            </w:r>
          </w:p>
          <w:p w14:paraId="2B43F5FA" w14:textId="77777777" w:rsidR="006F0F5C" w:rsidRPr="006710DB" w:rsidRDefault="006F0F5C" w:rsidP="006F0F5C">
            <w:pPr>
              <w:ind w:left="720"/>
              <w:jc w:val="both"/>
              <w:rPr>
                <w:rFonts w:ascii="Verdana" w:hAnsi="Verdana" w:cs="Arial"/>
                <w:b/>
                <w:color w:val="000000"/>
                <w:sz w:val="22"/>
                <w:szCs w:val="22"/>
                <w:lang w:val="es-CO"/>
              </w:rPr>
            </w:pPr>
          </w:p>
          <w:p w14:paraId="69403F3A" w14:textId="61D21374" w:rsidR="006F0F5C"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lastRenderedPageBreak/>
              <w:t xml:space="preserve">El proyecto de Circular Externa tiene por objeto crear el Capítulo 5 – Gestión del Riesgo de Conductas </w:t>
            </w:r>
            <w:r w:rsidR="002506E8">
              <w:rPr>
                <w:rFonts w:ascii="Verdana" w:hAnsi="Verdana"/>
                <w:sz w:val="22"/>
                <w:szCs w:val="22"/>
                <w:lang w:val="es-CO"/>
              </w:rPr>
              <w:t xml:space="preserve">de Afectación al Consumidor Financiero </w:t>
            </w:r>
            <w:r w:rsidRPr="006710DB">
              <w:rPr>
                <w:rFonts w:ascii="Verdana" w:hAnsi="Verdana"/>
                <w:sz w:val="22"/>
                <w:szCs w:val="22"/>
                <w:lang w:val="es-CO"/>
              </w:rPr>
              <w:t>(GERCO) en la Parte 1 – Administración de riesgos de la Circular Básica Financiera, con el fin de establecer instrucciones para que las entidades vigiladas gestionen, de manera preventiva y proporcional, los riesgos derivados de conductas que puedan afectar a los consumidores financieros o la transparencia e integridad de los mercados.</w:t>
            </w:r>
          </w:p>
          <w:p w14:paraId="33B76CDD" w14:textId="77777777" w:rsidR="002506E8" w:rsidRPr="006710DB" w:rsidRDefault="002506E8" w:rsidP="006F0F5C">
            <w:pPr>
              <w:autoSpaceDE w:val="0"/>
              <w:autoSpaceDN w:val="0"/>
              <w:adjustRightInd w:val="0"/>
              <w:jc w:val="both"/>
              <w:rPr>
                <w:rFonts w:ascii="Verdana" w:hAnsi="Verdana"/>
                <w:sz w:val="22"/>
                <w:szCs w:val="22"/>
                <w:lang w:val="es-CO"/>
              </w:rPr>
            </w:pPr>
          </w:p>
          <w:p w14:paraId="60C671E1" w14:textId="5C5F76CA" w:rsidR="006F0F5C"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 xml:space="preserve">En </w:t>
            </w:r>
            <w:r w:rsidR="00D87F7E">
              <w:rPr>
                <w:rFonts w:ascii="Verdana" w:hAnsi="Verdana"/>
                <w:sz w:val="22"/>
                <w:szCs w:val="22"/>
                <w:lang w:val="es-CO"/>
              </w:rPr>
              <w:t>este contexto</w:t>
            </w:r>
            <w:r w:rsidRPr="006710DB">
              <w:rPr>
                <w:rFonts w:ascii="Verdana" w:hAnsi="Verdana"/>
                <w:sz w:val="22"/>
                <w:szCs w:val="22"/>
                <w:lang w:val="es-CO"/>
              </w:rPr>
              <w:t>, la regulación busca:</w:t>
            </w:r>
          </w:p>
          <w:p w14:paraId="380BAE77" w14:textId="77777777" w:rsidR="006F0F5C" w:rsidRPr="006710DB" w:rsidRDefault="006F0F5C" w:rsidP="006F0F5C">
            <w:pPr>
              <w:autoSpaceDE w:val="0"/>
              <w:autoSpaceDN w:val="0"/>
              <w:adjustRightInd w:val="0"/>
              <w:jc w:val="both"/>
              <w:rPr>
                <w:rFonts w:ascii="Verdana" w:hAnsi="Verdana"/>
                <w:sz w:val="22"/>
                <w:szCs w:val="22"/>
                <w:lang w:val="es-CO"/>
              </w:rPr>
            </w:pPr>
          </w:p>
          <w:p w14:paraId="3330CA06" w14:textId="1957CE3E" w:rsidR="006F0F5C" w:rsidRPr="006710DB" w:rsidRDefault="006F0F5C" w:rsidP="00BB5C9A">
            <w:pPr>
              <w:numPr>
                <w:ilvl w:val="0"/>
                <w:numId w:val="22"/>
              </w:numPr>
              <w:autoSpaceDE w:val="0"/>
              <w:autoSpaceDN w:val="0"/>
              <w:adjustRightInd w:val="0"/>
              <w:jc w:val="both"/>
              <w:rPr>
                <w:rFonts w:ascii="Verdana" w:hAnsi="Verdana"/>
                <w:sz w:val="22"/>
                <w:szCs w:val="22"/>
                <w:lang w:val="es-CO"/>
              </w:rPr>
            </w:pPr>
            <w:r w:rsidRPr="006710DB">
              <w:rPr>
                <w:rFonts w:ascii="Verdana" w:hAnsi="Verdana"/>
                <w:sz w:val="22"/>
                <w:szCs w:val="22"/>
                <w:lang w:val="es-CO"/>
              </w:rPr>
              <w:t>Establecer</w:t>
            </w:r>
            <w:r w:rsidRPr="006710DB">
              <w:rPr>
                <w:rFonts w:ascii="Verdana" w:hAnsi="Verdana" w:cs="Arial"/>
                <w:b/>
                <w:color w:val="000000"/>
                <w:sz w:val="22"/>
                <w:szCs w:val="22"/>
                <w:lang w:val="es-CO"/>
              </w:rPr>
              <w:t xml:space="preserve"> </w:t>
            </w:r>
            <w:r w:rsidRPr="006710DB">
              <w:rPr>
                <w:rFonts w:ascii="Verdana" w:hAnsi="Verdana"/>
                <w:sz w:val="22"/>
                <w:szCs w:val="22"/>
                <w:lang w:val="es-CO"/>
              </w:rPr>
              <w:t>una definición regulatoria del riesgo de conductas</w:t>
            </w:r>
            <w:r w:rsidR="002506E8">
              <w:rPr>
                <w:rFonts w:ascii="Verdana" w:hAnsi="Verdana"/>
                <w:sz w:val="22"/>
                <w:szCs w:val="22"/>
                <w:lang w:val="es-CO"/>
              </w:rPr>
              <w:t xml:space="preserve"> de afectación al consumidor financiero</w:t>
            </w:r>
            <w:r w:rsidRPr="006710DB">
              <w:rPr>
                <w:rFonts w:ascii="Verdana" w:hAnsi="Verdana"/>
                <w:sz w:val="22"/>
                <w:szCs w:val="22"/>
                <w:lang w:val="es-CO"/>
              </w:rPr>
              <w:t>.</w:t>
            </w:r>
          </w:p>
          <w:p w14:paraId="71C303E5" w14:textId="77777777" w:rsidR="00BB5C9A" w:rsidRPr="006710DB" w:rsidRDefault="00BB5C9A" w:rsidP="00BB5C9A">
            <w:pPr>
              <w:autoSpaceDE w:val="0"/>
              <w:autoSpaceDN w:val="0"/>
              <w:adjustRightInd w:val="0"/>
              <w:ind w:left="720"/>
              <w:jc w:val="both"/>
              <w:rPr>
                <w:rFonts w:ascii="Verdana" w:hAnsi="Verdana"/>
                <w:sz w:val="22"/>
                <w:szCs w:val="22"/>
                <w:lang w:val="es-CO"/>
              </w:rPr>
            </w:pPr>
          </w:p>
          <w:p w14:paraId="61795F7A" w14:textId="77777777" w:rsidR="006F0F5C" w:rsidRPr="006710DB" w:rsidRDefault="006F0F5C" w:rsidP="00BB5C9A">
            <w:pPr>
              <w:numPr>
                <w:ilvl w:val="0"/>
                <w:numId w:val="22"/>
              </w:numPr>
              <w:autoSpaceDE w:val="0"/>
              <w:autoSpaceDN w:val="0"/>
              <w:adjustRightInd w:val="0"/>
              <w:jc w:val="both"/>
              <w:rPr>
                <w:rFonts w:ascii="Verdana" w:hAnsi="Verdana"/>
                <w:sz w:val="22"/>
                <w:szCs w:val="22"/>
                <w:lang w:val="es-CO"/>
              </w:rPr>
            </w:pPr>
            <w:r w:rsidRPr="006710DB">
              <w:rPr>
                <w:rFonts w:ascii="Verdana" w:hAnsi="Verdana"/>
                <w:sz w:val="22"/>
                <w:szCs w:val="22"/>
                <w:lang w:val="es-CO"/>
              </w:rPr>
              <w:t>Determinar los principios y elementos mínimos que deben orientar la gestión de dicho riesgo.</w:t>
            </w:r>
          </w:p>
          <w:p w14:paraId="0850ABC2" w14:textId="77777777" w:rsidR="00BB5C9A" w:rsidRPr="006710DB" w:rsidRDefault="00BB5C9A" w:rsidP="00BB5C9A">
            <w:pPr>
              <w:pStyle w:val="Prrafodelista"/>
              <w:rPr>
                <w:rFonts w:ascii="Verdana" w:hAnsi="Verdana"/>
                <w:sz w:val="22"/>
                <w:szCs w:val="22"/>
                <w:lang w:val="es-CO"/>
              </w:rPr>
            </w:pPr>
          </w:p>
          <w:p w14:paraId="19D9DC30" w14:textId="4DA95420" w:rsidR="00BB5C9A" w:rsidRDefault="007E2443" w:rsidP="00675427">
            <w:pPr>
              <w:numPr>
                <w:ilvl w:val="0"/>
                <w:numId w:val="22"/>
              </w:numPr>
              <w:autoSpaceDE w:val="0"/>
              <w:autoSpaceDN w:val="0"/>
              <w:adjustRightInd w:val="0"/>
              <w:jc w:val="both"/>
              <w:rPr>
                <w:rFonts w:ascii="Verdana" w:hAnsi="Verdana"/>
                <w:sz w:val="22"/>
                <w:szCs w:val="22"/>
                <w:lang w:val="es-CO"/>
              </w:rPr>
            </w:pPr>
            <w:r w:rsidRPr="007E2443">
              <w:rPr>
                <w:rFonts w:ascii="Verdana" w:hAnsi="Verdana"/>
                <w:sz w:val="22"/>
                <w:szCs w:val="22"/>
              </w:rPr>
              <w:t>Señalar los lineamientos generales para su identificación, evaluación y</w:t>
            </w:r>
            <w:r w:rsidR="002506E8">
              <w:rPr>
                <w:rFonts w:ascii="Verdana" w:hAnsi="Verdana"/>
                <w:sz w:val="22"/>
                <w:szCs w:val="22"/>
              </w:rPr>
              <w:t xml:space="preserve"> seguimiento</w:t>
            </w:r>
            <w:r w:rsidRPr="007E2443">
              <w:rPr>
                <w:rFonts w:ascii="Verdana" w:hAnsi="Verdana"/>
                <w:sz w:val="22"/>
                <w:szCs w:val="22"/>
              </w:rPr>
              <w:t>, control</w:t>
            </w:r>
            <w:r w:rsidR="002506E8">
              <w:rPr>
                <w:rFonts w:ascii="Verdana" w:hAnsi="Verdana"/>
                <w:sz w:val="22"/>
                <w:szCs w:val="22"/>
              </w:rPr>
              <w:t xml:space="preserve"> y</w:t>
            </w:r>
            <w:r w:rsidRPr="007E2443">
              <w:rPr>
                <w:rFonts w:ascii="Verdana" w:hAnsi="Verdana"/>
                <w:sz w:val="22"/>
                <w:szCs w:val="22"/>
              </w:rPr>
              <w:t xml:space="preserve"> monitoreo </w:t>
            </w:r>
            <w:r w:rsidR="002506E8">
              <w:rPr>
                <w:rFonts w:ascii="Verdana" w:hAnsi="Verdana"/>
                <w:sz w:val="22"/>
                <w:szCs w:val="22"/>
              </w:rPr>
              <w:t>del riesgo</w:t>
            </w:r>
            <w:r w:rsidRPr="007E2443">
              <w:rPr>
                <w:rFonts w:ascii="Verdana" w:hAnsi="Verdana"/>
                <w:sz w:val="22"/>
                <w:szCs w:val="22"/>
              </w:rPr>
              <w:t>.</w:t>
            </w:r>
          </w:p>
          <w:p w14:paraId="55E0E571" w14:textId="77777777" w:rsidR="007E2443" w:rsidRPr="006710DB" w:rsidRDefault="007E2443" w:rsidP="007E2443">
            <w:pPr>
              <w:autoSpaceDE w:val="0"/>
              <w:autoSpaceDN w:val="0"/>
              <w:adjustRightInd w:val="0"/>
              <w:jc w:val="both"/>
              <w:rPr>
                <w:rFonts w:ascii="Verdana" w:hAnsi="Verdana"/>
                <w:sz w:val="22"/>
                <w:szCs w:val="22"/>
                <w:lang w:val="es-CO"/>
              </w:rPr>
            </w:pPr>
          </w:p>
          <w:p w14:paraId="2FCF0F3F" w14:textId="77777777" w:rsidR="006F0F5C" w:rsidRPr="006710DB" w:rsidRDefault="006F0F5C" w:rsidP="00BB5C9A">
            <w:pPr>
              <w:numPr>
                <w:ilvl w:val="0"/>
                <w:numId w:val="22"/>
              </w:numPr>
              <w:autoSpaceDE w:val="0"/>
              <w:autoSpaceDN w:val="0"/>
              <w:adjustRightInd w:val="0"/>
              <w:jc w:val="both"/>
              <w:rPr>
                <w:rFonts w:ascii="Verdana" w:hAnsi="Verdana"/>
                <w:sz w:val="22"/>
                <w:szCs w:val="22"/>
                <w:lang w:val="es-CO"/>
              </w:rPr>
            </w:pPr>
            <w:r w:rsidRPr="006710DB">
              <w:rPr>
                <w:rFonts w:ascii="Verdana" w:hAnsi="Verdana"/>
                <w:sz w:val="22"/>
                <w:szCs w:val="22"/>
                <w:lang w:val="es-CO"/>
              </w:rPr>
              <w:t>Promover la articulación del GERCO con los sistemas de administración de riesgos, el sistema de control interno, el gobierno corporativo y los demás procesos internos pertinentes.</w:t>
            </w:r>
          </w:p>
          <w:p w14:paraId="3588ACA5" w14:textId="77777777" w:rsidR="00BB5C9A" w:rsidRPr="006710DB" w:rsidRDefault="00BB5C9A" w:rsidP="007E2443">
            <w:pPr>
              <w:autoSpaceDE w:val="0"/>
              <w:autoSpaceDN w:val="0"/>
              <w:adjustRightInd w:val="0"/>
              <w:jc w:val="both"/>
              <w:rPr>
                <w:rFonts w:ascii="Verdana" w:hAnsi="Verdana"/>
                <w:sz w:val="22"/>
                <w:szCs w:val="22"/>
                <w:lang w:val="es-CO"/>
              </w:rPr>
            </w:pPr>
          </w:p>
          <w:p w14:paraId="5753F7BA" w14:textId="77777777" w:rsidR="006F0F5C" w:rsidRPr="006710DB" w:rsidRDefault="0078252C" w:rsidP="00BB5C9A">
            <w:pPr>
              <w:numPr>
                <w:ilvl w:val="0"/>
                <w:numId w:val="22"/>
              </w:numPr>
              <w:autoSpaceDE w:val="0"/>
              <w:autoSpaceDN w:val="0"/>
              <w:adjustRightInd w:val="0"/>
              <w:jc w:val="both"/>
              <w:rPr>
                <w:rFonts w:ascii="Verdana" w:hAnsi="Verdana"/>
                <w:sz w:val="22"/>
                <w:szCs w:val="22"/>
                <w:lang w:val="es-CO"/>
              </w:rPr>
            </w:pPr>
            <w:r w:rsidRPr="006710DB">
              <w:rPr>
                <w:rFonts w:ascii="Verdana" w:hAnsi="Verdana"/>
                <w:sz w:val="22"/>
                <w:szCs w:val="22"/>
              </w:rPr>
              <w:t>Fortalecer la gestión preventiva de prácticas que puedan afectar los derechos de los consumidores financieros, comprometer la debida diligencia exigible a las entidades vigiladas, afectar la transparencia en la prestación de productos y servicios financieros, desconocer la buena fe o comprometer la integridad de los mercados</w:t>
            </w:r>
            <w:r w:rsidR="006F0F5C" w:rsidRPr="006710DB">
              <w:rPr>
                <w:rFonts w:ascii="Verdana" w:hAnsi="Verdana"/>
                <w:sz w:val="22"/>
                <w:szCs w:val="22"/>
                <w:lang w:val="es-CO"/>
              </w:rPr>
              <w:t>.</w:t>
            </w:r>
          </w:p>
          <w:p w14:paraId="5E68D200" w14:textId="77777777" w:rsidR="0078252C" w:rsidRPr="006710DB" w:rsidRDefault="0078252C" w:rsidP="006F0F5C">
            <w:pPr>
              <w:autoSpaceDE w:val="0"/>
              <w:autoSpaceDN w:val="0"/>
              <w:adjustRightInd w:val="0"/>
              <w:jc w:val="both"/>
              <w:rPr>
                <w:rFonts w:ascii="Verdana" w:hAnsi="Verdana"/>
                <w:sz w:val="22"/>
                <w:szCs w:val="22"/>
                <w:lang w:val="es-CO"/>
              </w:rPr>
            </w:pPr>
          </w:p>
          <w:p w14:paraId="764D396A" w14:textId="77777777" w:rsidR="006F0F5C" w:rsidRPr="006710DB" w:rsidRDefault="00667381" w:rsidP="00667381">
            <w:pPr>
              <w:numPr>
                <w:ilvl w:val="1"/>
                <w:numId w:val="17"/>
              </w:numPr>
              <w:jc w:val="both"/>
              <w:rPr>
                <w:rFonts w:ascii="Verdana" w:hAnsi="Verdana" w:cs="Arial"/>
                <w:b/>
                <w:color w:val="000000"/>
                <w:sz w:val="22"/>
                <w:szCs w:val="22"/>
                <w:lang w:val="es-CO"/>
              </w:rPr>
            </w:pPr>
            <w:r w:rsidRPr="006710DB">
              <w:rPr>
                <w:rFonts w:ascii="Verdana" w:hAnsi="Verdana" w:cs="Arial"/>
                <w:b/>
                <w:color w:val="000000"/>
                <w:sz w:val="22"/>
                <w:szCs w:val="22"/>
                <w:lang w:val="es-CO"/>
              </w:rPr>
              <w:t>Necesidad y oportunidad de la intervención regulatoria</w:t>
            </w:r>
          </w:p>
          <w:p w14:paraId="0BA09B89" w14:textId="77777777" w:rsidR="006F0F5C" w:rsidRPr="006710DB" w:rsidRDefault="006F0F5C" w:rsidP="006F0F5C">
            <w:pPr>
              <w:ind w:left="720"/>
              <w:jc w:val="both"/>
              <w:rPr>
                <w:rFonts w:ascii="Verdana" w:hAnsi="Verdana" w:cs="Arial"/>
                <w:b/>
                <w:color w:val="000000"/>
                <w:sz w:val="22"/>
                <w:szCs w:val="22"/>
                <w:lang w:val="es-CO"/>
              </w:rPr>
            </w:pPr>
          </w:p>
          <w:p w14:paraId="2B7B8C58" w14:textId="33208B3A"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La intervención regulatoria se justifica en la necesidad de contar con un marco normativo expreso para la gestión del riesgo de conductas</w:t>
            </w:r>
            <w:r w:rsidR="00066F26">
              <w:rPr>
                <w:rFonts w:ascii="Verdana" w:hAnsi="Verdana"/>
                <w:sz w:val="22"/>
                <w:szCs w:val="22"/>
                <w:lang w:val="es-CO"/>
              </w:rPr>
              <w:t xml:space="preserve"> de afectación a los consumidores financieros</w:t>
            </w:r>
            <w:r w:rsidRPr="006710DB">
              <w:rPr>
                <w:rFonts w:ascii="Verdana" w:hAnsi="Verdana"/>
                <w:sz w:val="22"/>
                <w:szCs w:val="22"/>
                <w:lang w:val="es-CO"/>
              </w:rPr>
              <w:t>, que permita reducir asimetrías en la comprensión e implementación de este riesgo por parte de las entidades vigiladas.</w:t>
            </w:r>
          </w:p>
          <w:p w14:paraId="3DC3E0F0" w14:textId="77777777" w:rsidR="006F0F5C" w:rsidRPr="006710DB" w:rsidRDefault="006F0F5C" w:rsidP="006F0F5C">
            <w:pPr>
              <w:autoSpaceDE w:val="0"/>
              <w:autoSpaceDN w:val="0"/>
              <w:adjustRightInd w:val="0"/>
              <w:jc w:val="both"/>
              <w:rPr>
                <w:rFonts w:ascii="Verdana" w:hAnsi="Verdana"/>
                <w:sz w:val="22"/>
                <w:szCs w:val="22"/>
                <w:lang w:val="es-CO"/>
              </w:rPr>
            </w:pPr>
          </w:p>
          <w:p w14:paraId="1E993048" w14:textId="77777777" w:rsidR="0078252C" w:rsidRPr="006710DB" w:rsidRDefault="006F0F5C" w:rsidP="006F0F5C">
            <w:pPr>
              <w:autoSpaceDE w:val="0"/>
              <w:autoSpaceDN w:val="0"/>
              <w:adjustRightInd w:val="0"/>
              <w:jc w:val="both"/>
              <w:rPr>
                <w:rFonts w:ascii="Verdana" w:hAnsi="Verdana"/>
                <w:sz w:val="22"/>
                <w:szCs w:val="22"/>
              </w:rPr>
            </w:pPr>
            <w:r w:rsidRPr="006710DB">
              <w:rPr>
                <w:rFonts w:ascii="Verdana" w:hAnsi="Verdana"/>
                <w:sz w:val="22"/>
                <w:szCs w:val="22"/>
                <w:lang w:val="es-CO"/>
              </w:rPr>
              <w:t xml:space="preserve">La supervisión adelantada por la Superintendencia ha permitido advertir que el grado de madurez de las entidades en esta materia es heterogéneo. Mientras algunas han avanzado en la incorporación de políticas, controles, mecanismos de seguimiento e instancias de gobierno para gestionar este riesgo, otras lo abordan de manera fragmentada o lo asimilan exclusivamente a </w:t>
            </w:r>
            <w:r w:rsidR="0078252C" w:rsidRPr="006710DB">
              <w:rPr>
                <w:rFonts w:ascii="Verdana" w:hAnsi="Verdana"/>
                <w:sz w:val="22"/>
                <w:szCs w:val="22"/>
              </w:rPr>
              <w:t>procesos de atención de quejas, atención al consumidor financiero o cumplimiento normativo.</w:t>
            </w:r>
          </w:p>
          <w:p w14:paraId="75DDEC81" w14:textId="77777777" w:rsidR="0078252C" w:rsidRPr="006710DB" w:rsidRDefault="0078252C" w:rsidP="006F0F5C">
            <w:pPr>
              <w:autoSpaceDE w:val="0"/>
              <w:autoSpaceDN w:val="0"/>
              <w:adjustRightInd w:val="0"/>
              <w:jc w:val="both"/>
              <w:rPr>
                <w:rFonts w:ascii="Verdana" w:hAnsi="Verdana"/>
                <w:sz w:val="22"/>
                <w:szCs w:val="22"/>
              </w:rPr>
            </w:pPr>
          </w:p>
          <w:p w14:paraId="5DC71376" w14:textId="7B0B5A4A"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Si bien dichos procesos pueden contribuir a su gestión, el riesgo de conductas</w:t>
            </w:r>
            <w:r w:rsidR="00066F26">
              <w:rPr>
                <w:rFonts w:ascii="Verdana" w:hAnsi="Verdana"/>
                <w:sz w:val="22"/>
                <w:szCs w:val="22"/>
                <w:lang w:val="es-CO"/>
              </w:rPr>
              <w:t xml:space="preserve"> de afectación al consumidor financiero</w:t>
            </w:r>
            <w:r w:rsidRPr="006710DB">
              <w:rPr>
                <w:rFonts w:ascii="Verdana" w:hAnsi="Verdana"/>
                <w:sz w:val="22"/>
                <w:szCs w:val="22"/>
                <w:lang w:val="es-CO"/>
              </w:rPr>
              <w:t xml:space="preserve"> tiene una naturaleza más amplia. Comprende la posibilidad de que, por acción u omisión, las entidades vigiladas, sus administradores, empleados o terceros que actúen en su nombre desarrollen prácticas que afecten los derechos de los consumidores financieros, la transparencia, la integridad del mercado, </w:t>
            </w:r>
            <w:r w:rsidR="0078252C" w:rsidRPr="006710DB">
              <w:rPr>
                <w:rFonts w:ascii="Verdana" w:hAnsi="Verdana"/>
                <w:sz w:val="22"/>
                <w:szCs w:val="22"/>
                <w:lang w:val="es-CO"/>
              </w:rPr>
              <w:t>l</w:t>
            </w:r>
            <w:r w:rsidR="0078252C" w:rsidRPr="006710DB">
              <w:rPr>
                <w:rFonts w:ascii="Verdana" w:hAnsi="Verdana"/>
                <w:sz w:val="22"/>
                <w:szCs w:val="22"/>
              </w:rPr>
              <w:t xml:space="preserve">a confianza pública o el adecuado desarrollo de las relaciones propias de la actividad financiera, aseguradora y del mercado de </w:t>
            </w:r>
            <w:r w:rsidR="0078252C" w:rsidRPr="006710DB">
              <w:rPr>
                <w:rFonts w:ascii="Verdana" w:hAnsi="Verdana"/>
                <w:sz w:val="22"/>
                <w:szCs w:val="22"/>
              </w:rPr>
              <w:lastRenderedPageBreak/>
              <w:t>valores</w:t>
            </w:r>
            <w:r w:rsidRPr="006710DB">
              <w:rPr>
                <w:rFonts w:ascii="Verdana" w:hAnsi="Verdana"/>
                <w:sz w:val="22"/>
                <w:szCs w:val="22"/>
                <w:lang w:val="es-CO"/>
              </w:rPr>
              <w:t>.</w:t>
            </w:r>
          </w:p>
          <w:p w14:paraId="394286C9" w14:textId="77777777" w:rsidR="006F0F5C" w:rsidRPr="006710DB" w:rsidRDefault="006F0F5C" w:rsidP="006F0F5C">
            <w:pPr>
              <w:autoSpaceDE w:val="0"/>
              <w:autoSpaceDN w:val="0"/>
              <w:adjustRightInd w:val="0"/>
              <w:jc w:val="both"/>
              <w:rPr>
                <w:rFonts w:ascii="Verdana" w:hAnsi="Verdana"/>
                <w:sz w:val="22"/>
                <w:szCs w:val="22"/>
                <w:lang w:val="es-CO"/>
              </w:rPr>
            </w:pPr>
          </w:p>
          <w:p w14:paraId="48399C98" w14:textId="77777777" w:rsidR="006F0F5C" w:rsidRPr="006710DB" w:rsidRDefault="006F0F5C" w:rsidP="006F0F5C">
            <w:pPr>
              <w:autoSpaceDE w:val="0"/>
              <w:autoSpaceDN w:val="0"/>
              <w:adjustRightInd w:val="0"/>
              <w:jc w:val="both"/>
              <w:rPr>
                <w:rFonts w:ascii="Verdana" w:hAnsi="Verdana"/>
                <w:sz w:val="22"/>
                <w:szCs w:val="22"/>
                <w:lang w:val="es-CO"/>
              </w:rPr>
            </w:pPr>
            <w:r w:rsidRPr="006710DB">
              <w:rPr>
                <w:rFonts w:ascii="Verdana" w:hAnsi="Verdana"/>
                <w:sz w:val="22"/>
                <w:szCs w:val="22"/>
                <w:lang w:val="es-CO"/>
              </w:rPr>
              <w:t>Por lo anterior, la expedición de la Circular Externa resulta conveniente para:</w:t>
            </w:r>
          </w:p>
          <w:p w14:paraId="6539494F" w14:textId="77777777" w:rsidR="006F0F5C" w:rsidRPr="006710DB" w:rsidRDefault="006F0F5C" w:rsidP="006F0F5C">
            <w:pPr>
              <w:autoSpaceDE w:val="0"/>
              <w:autoSpaceDN w:val="0"/>
              <w:adjustRightInd w:val="0"/>
              <w:jc w:val="both"/>
              <w:rPr>
                <w:rFonts w:ascii="Verdana" w:hAnsi="Verdana"/>
                <w:sz w:val="22"/>
                <w:szCs w:val="22"/>
                <w:lang w:val="es-CO"/>
              </w:rPr>
            </w:pPr>
          </w:p>
          <w:p w14:paraId="61BE5096" w14:textId="77777777" w:rsidR="001602EA" w:rsidRPr="006710DB" w:rsidRDefault="006F0F5C">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Establecer criterios comunes sobre la gestión del riesgo de conductas.</w:t>
            </w:r>
          </w:p>
          <w:p w14:paraId="5D26721E" w14:textId="77777777" w:rsidR="001602EA" w:rsidRPr="006710DB" w:rsidRDefault="001602EA" w:rsidP="001602EA">
            <w:pPr>
              <w:autoSpaceDE w:val="0"/>
              <w:autoSpaceDN w:val="0"/>
              <w:adjustRightInd w:val="0"/>
              <w:ind w:left="720"/>
              <w:jc w:val="both"/>
              <w:rPr>
                <w:rFonts w:ascii="Verdana" w:hAnsi="Verdana"/>
                <w:sz w:val="22"/>
                <w:szCs w:val="22"/>
                <w:lang w:val="es-CO"/>
              </w:rPr>
            </w:pPr>
          </w:p>
          <w:p w14:paraId="26F4CAC2" w14:textId="77777777" w:rsidR="006F0F5C" w:rsidRPr="006710DB" w:rsidRDefault="006F0F5C">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Fortalecer la protección del consumidor financiero desde una perspectiva preventiva.</w:t>
            </w:r>
          </w:p>
          <w:p w14:paraId="1813307F" w14:textId="77777777" w:rsidR="001602EA" w:rsidRPr="006710DB" w:rsidRDefault="001602EA" w:rsidP="001602EA">
            <w:pPr>
              <w:pStyle w:val="Prrafodelista"/>
              <w:rPr>
                <w:rFonts w:ascii="Verdana" w:hAnsi="Verdana"/>
                <w:sz w:val="22"/>
                <w:szCs w:val="22"/>
                <w:lang w:val="es-CO"/>
              </w:rPr>
            </w:pPr>
          </w:p>
          <w:p w14:paraId="33383E92" w14:textId="77777777" w:rsidR="006F0F5C" w:rsidRPr="006710DB" w:rsidRDefault="006F0F5C" w:rsidP="001602EA">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Promover una cultura organizacional orientada a la integridad, la transparencia, la debida diligencia y el cumplimiento de las obligaciones aplicables a las entidades vigiladas.</w:t>
            </w:r>
          </w:p>
          <w:p w14:paraId="0FC536FE" w14:textId="77777777" w:rsidR="001602EA" w:rsidRPr="006710DB" w:rsidRDefault="001602EA" w:rsidP="001602EA">
            <w:pPr>
              <w:pStyle w:val="Prrafodelista"/>
              <w:rPr>
                <w:rFonts w:ascii="Verdana" w:hAnsi="Verdana"/>
                <w:sz w:val="22"/>
                <w:szCs w:val="22"/>
                <w:lang w:val="es-CO"/>
              </w:rPr>
            </w:pPr>
          </w:p>
          <w:p w14:paraId="1BDB5A7C" w14:textId="77777777" w:rsidR="006F0F5C" w:rsidRPr="006710DB" w:rsidRDefault="006F0F5C" w:rsidP="001602EA">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Evitar duplicidades o vacíos frente a otros sistemas, procesos y mecanismos internos.</w:t>
            </w:r>
          </w:p>
          <w:p w14:paraId="492B00F7" w14:textId="77777777" w:rsidR="001602EA" w:rsidRPr="006710DB" w:rsidRDefault="001602EA" w:rsidP="001602EA">
            <w:pPr>
              <w:pStyle w:val="Prrafodelista"/>
              <w:rPr>
                <w:rFonts w:ascii="Verdana" w:hAnsi="Verdana"/>
                <w:sz w:val="22"/>
                <w:szCs w:val="22"/>
                <w:lang w:val="es-CO"/>
              </w:rPr>
            </w:pPr>
          </w:p>
          <w:p w14:paraId="11D0ED3C" w14:textId="77777777" w:rsidR="006F0F5C" w:rsidRPr="006710DB" w:rsidRDefault="006F0F5C" w:rsidP="001602EA">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Facilitar la supervisión basada en riesgos mediante instrucciones claras y proporcionales.</w:t>
            </w:r>
          </w:p>
          <w:p w14:paraId="1729C0AF" w14:textId="77777777" w:rsidR="001602EA" w:rsidRPr="006710DB" w:rsidRDefault="001602EA" w:rsidP="001602EA">
            <w:pPr>
              <w:pStyle w:val="Prrafodelista"/>
              <w:rPr>
                <w:rFonts w:ascii="Verdana" w:hAnsi="Verdana"/>
                <w:sz w:val="22"/>
                <w:szCs w:val="22"/>
                <w:lang w:val="es-CO"/>
              </w:rPr>
            </w:pPr>
          </w:p>
          <w:p w14:paraId="37D1C1A8" w14:textId="77777777" w:rsidR="006F0F5C" w:rsidRPr="006710DB" w:rsidRDefault="006F0F5C" w:rsidP="001602EA">
            <w:pPr>
              <w:numPr>
                <w:ilvl w:val="0"/>
                <w:numId w:val="20"/>
              </w:numPr>
              <w:autoSpaceDE w:val="0"/>
              <w:autoSpaceDN w:val="0"/>
              <w:adjustRightInd w:val="0"/>
              <w:jc w:val="both"/>
              <w:rPr>
                <w:rFonts w:ascii="Verdana" w:hAnsi="Verdana"/>
                <w:sz w:val="22"/>
                <w:szCs w:val="22"/>
                <w:lang w:val="es-CO"/>
              </w:rPr>
            </w:pPr>
            <w:r w:rsidRPr="006710DB">
              <w:rPr>
                <w:rFonts w:ascii="Verdana" w:hAnsi="Verdana"/>
                <w:sz w:val="22"/>
                <w:szCs w:val="22"/>
                <w:lang w:val="es-CO"/>
              </w:rPr>
              <w:t>Consolidar un marco regulatorio que reconozca la relación del riesgo de conductas tanto con la protección del consumidor financiero como con la integridad y transparencia de los mercados.</w:t>
            </w:r>
          </w:p>
          <w:p w14:paraId="04FF19D5" w14:textId="77777777" w:rsidR="006F0F5C" w:rsidRPr="006710DB" w:rsidRDefault="006F0F5C" w:rsidP="006F0F5C">
            <w:pPr>
              <w:autoSpaceDE w:val="0"/>
              <w:autoSpaceDN w:val="0"/>
              <w:adjustRightInd w:val="0"/>
              <w:jc w:val="both"/>
              <w:rPr>
                <w:rFonts w:ascii="Verdana" w:hAnsi="Verdana"/>
                <w:sz w:val="22"/>
                <w:szCs w:val="22"/>
                <w:lang w:val="es-CO"/>
              </w:rPr>
            </w:pPr>
          </w:p>
          <w:p w14:paraId="498EC503" w14:textId="77777777" w:rsidR="006F0F5C" w:rsidRPr="006710DB" w:rsidRDefault="00011F57" w:rsidP="00011F57">
            <w:pPr>
              <w:numPr>
                <w:ilvl w:val="1"/>
                <w:numId w:val="17"/>
              </w:numPr>
              <w:jc w:val="both"/>
              <w:rPr>
                <w:rFonts w:ascii="Verdana" w:hAnsi="Verdana" w:cs="Arial"/>
                <w:b/>
                <w:color w:val="000000"/>
                <w:sz w:val="22"/>
                <w:szCs w:val="22"/>
                <w:lang w:val="es-CO"/>
              </w:rPr>
            </w:pPr>
            <w:r w:rsidRPr="006710DB">
              <w:rPr>
                <w:rFonts w:ascii="Verdana" w:hAnsi="Verdana" w:cs="Arial"/>
                <w:b/>
                <w:color w:val="000000"/>
                <w:sz w:val="22"/>
                <w:szCs w:val="22"/>
                <w:lang w:val="es-CO"/>
              </w:rPr>
              <w:t>Alcance de la propuesta normativa</w:t>
            </w:r>
          </w:p>
          <w:p w14:paraId="0528EC9E" w14:textId="77777777" w:rsidR="006F0F5C" w:rsidRPr="006710DB" w:rsidRDefault="006F0F5C" w:rsidP="006F0F5C">
            <w:pPr>
              <w:ind w:left="720"/>
              <w:jc w:val="both"/>
              <w:rPr>
                <w:rFonts w:ascii="Verdana" w:hAnsi="Verdana" w:cs="Arial"/>
                <w:b/>
                <w:color w:val="000000"/>
                <w:sz w:val="22"/>
                <w:szCs w:val="22"/>
                <w:lang w:val="es-CO"/>
              </w:rPr>
            </w:pPr>
          </w:p>
          <w:p w14:paraId="0E0A2BCA" w14:textId="4529E3D5"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 xml:space="preserve">La Circular Externa establecerá instrucciones relacionadas con la Gestión del Riesgo de Conductas </w:t>
            </w:r>
            <w:r w:rsidR="00066F26">
              <w:rPr>
                <w:rFonts w:ascii="Verdana" w:hAnsi="Verdana" w:cs="Arial"/>
                <w:bCs/>
                <w:color w:val="000000"/>
                <w:sz w:val="22"/>
                <w:szCs w:val="22"/>
                <w:lang w:val="es-CO"/>
              </w:rPr>
              <w:t>de Afectación a los Consumidores Financieros (</w:t>
            </w:r>
            <w:r w:rsidRPr="006710DB">
              <w:rPr>
                <w:rFonts w:ascii="Verdana" w:hAnsi="Verdana" w:cs="Arial"/>
                <w:bCs/>
                <w:color w:val="000000"/>
                <w:sz w:val="22"/>
                <w:szCs w:val="22"/>
                <w:lang w:val="es-CO"/>
              </w:rPr>
              <w:t>GERCO</w:t>
            </w:r>
            <w:r w:rsidR="00066F26">
              <w:rPr>
                <w:rFonts w:ascii="Verdana" w:hAnsi="Verdana" w:cs="Arial"/>
                <w:bCs/>
                <w:color w:val="000000"/>
                <w:sz w:val="22"/>
                <w:szCs w:val="22"/>
                <w:lang w:val="es-CO"/>
              </w:rPr>
              <w:t>)</w:t>
            </w:r>
            <w:r w:rsidRPr="006710DB">
              <w:rPr>
                <w:rFonts w:ascii="Verdana" w:hAnsi="Verdana" w:cs="Arial"/>
                <w:bCs/>
                <w:color w:val="000000"/>
                <w:sz w:val="22"/>
                <w:szCs w:val="22"/>
                <w:lang w:val="es-CO"/>
              </w:rPr>
              <w:t>, incluyendo los siguientes aspectos:</w:t>
            </w:r>
          </w:p>
          <w:p w14:paraId="373E9550" w14:textId="77777777" w:rsidR="006F0F5C" w:rsidRPr="006710DB" w:rsidRDefault="006F0F5C" w:rsidP="006F0F5C">
            <w:pPr>
              <w:jc w:val="both"/>
              <w:rPr>
                <w:rFonts w:ascii="Verdana" w:hAnsi="Verdana" w:cs="Arial"/>
                <w:bCs/>
                <w:color w:val="000000"/>
                <w:sz w:val="22"/>
                <w:szCs w:val="22"/>
                <w:lang w:val="es-CO"/>
              </w:rPr>
            </w:pPr>
          </w:p>
          <w:p w14:paraId="76F2E8FD" w14:textId="3E39D5B1" w:rsidR="006F0F5C" w:rsidRPr="006710DB" w:rsidRDefault="006F0F5C" w:rsidP="00E56081">
            <w:pPr>
              <w:numPr>
                <w:ilvl w:val="0"/>
                <w:numId w:val="19"/>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Definición del riesgo de conductas</w:t>
            </w:r>
            <w:r w:rsidR="00066F26">
              <w:rPr>
                <w:rFonts w:ascii="Verdana" w:hAnsi="Verdana" w:cs="Arial"/>
                <w:bCs/>
                <w:color w:val="000000"/>
                <w:sz w:val="22"/>
                <w:szCs w:val="22"/>
                <w:lang w:val="es-CO"/>
              </w:rPr>
              <w:t xml:space="preserve"> de afectación al consumidor financiero</w:t>
            </w:r>
            <w:r w:rsidRPr="006710DB">
              <w:rPr>
                <w:rFonts w:ascii="Verdana" w:hAnsi="Verdana" w:cs="Arial"/>
                <w:bCs/>
                <w:color w:val="000000"/>
                <w:sz w:val="22"/>
                <w:szCs w:val="22"/>
                <w:lang w:val="es-CO"/>
              </w:rPr>
              <w:t>.</w:t>
            </w:r>
          </w:p>
          <w:p w14:paraId="5FE12453" w14:textId="77777777" w:rsidR="006F0F5C" w:rsidRPr="006710DB" w:rsidRDefault="006F0F5C" w:rsidP="006F0F5C">
            <w:pPr>
              <w:jc w:val="both"/>
              <w:rPr>
                <w:rFonts w:ascii="Verdana" w:hAnsi="Verdana" w:cs="Arial"/>
                <w:bCs/>
                <w:color w:val="000000"/>
                <w:sz w:val="22"/>
                <w:szCs w:val="22"/>
                <w:lang w:val="es-CO"/>
              </w:rPr>
            </w:pPr>
          </w:p>
          <w:p w14:paraId="5B3B6C14" w14:textId="77777777" w:rsidR="006F0F5C" w:rsidRPr="006710DB" w:rsidRDefault="006F0F5C" w:rsidP="00E56081">
            <w:pPr>
              <w:numPr>
                <w:ilvl w:val="0"/>
                <w:numId w:val="19"/>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Principios aplicables a su gestión.</w:t>
            </w:r>
          </w:p>
          <w:p w14:paraId="11AE12A3" w14:textId="77777777" w:rsidR="006F0F5C" w:rsidRPr="006710DB" w:rsidRDefault="006F0F5C" w:rsidP="006F0F5C">
            <w:pPr>
              <w:jc w:val="both"/>
              <w:rPr>
                <w:rFonts w:ascii="Verdana" w:hAnsi="Verdana" w:cs="Arial"/>
                <w:bCs/>
                <w:color w:val="000000"/>
                <w:sz w:val="22"/>
                <w:szCs w:val="22"/>
                <w:lang w:val="es-CO"/>
              </w:rPr>
            </w:pPr>
          </w:p>
          <w:p w14:paraId="5E0DA2BF" w14:textId="64D6E35D" w:rsidR="006F0F5C" w:rsidRPr="006710DB" w:rsidRDefault="006F0F5C" w:rsidP="00E56081">
            <w:pPr>
              <w:numPr>
                <w:ilvl w:val="0"/>
                <w:numId w:val="19"/>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Política de gestión del riesgo de conductas</w:t>
            </w:r>
            <w:r w:rsidR="00FB1012">
              <w:rPr>
                <w:rFonts w:ascii="Verdana" w:hAnsi="Verdana" w:cs="Arial"/>
                <w:bCs/>
                <w:color w:val="000000"/>
                <w:sz w:val="22"/>
                <w:szCs w:val="22"/>
                <w:lang w:val="es-CO"/>
              </w:rPr>
              <w:t xml:space="preserve"> de afectación al consumidor financiero</w:t>
            </w:r>
            <w:r w:rsidRPr="006710DB">
              <w:rPr>
                <w:rFonts w:ascii="Verdana" w:hAnsi="Verdana" w:cs="Arial"/>
                <w:bCs/>
                <w:color w:val="000000"/>
                <w:sz w:val="22"/>
                <w:szCs w:val="22"/>
                <w:lang w:val="es-CO"/>
              </w:rPr>
              <w:t>.</w:t>
            </w:r>
          </w:p>
          <w:p w14:paraId="7815A390" w14:textId="77777777" w:rsidR="007E2443" w:rsidRDefault="007E2443" w:rsidP="00345F4B">
            <w:pPr>
              <w:pStyle w:val="Prrafodelista"/>
              <w:ind w:left="0"/>
              <w:rPr>
                <w:rFonts w:ascii="Verdana" w:hAnsi="Verdana" w:cs="Arial"/>
                <w:bCs/>
                <w:color w:val="000000"/>
                <w:sz w:val="22"/>
                <w:szCs w:val="22"/>
                <w:lang w:val="es-CO"/>
              </w:rPr>
            </w:pPr>
          </w:p>
          <w:p w14:paraId="7130B33C" w14:textId="49FDA84B" w:rsidR="006F0F5C" w:rsidRPr="007E2443" w:rsidRDefault="007E2443" w:rsidP="006F0F5C">
            <w:pPr>
              <w:numPr>
                <w:ilvl w:val="0"/>
                <w:numId w:val="19"/>
              </w:numPr>
              <w:jc w:val="both"/>
              <w:rPr>
                <w:rFonts w:ascii="Verdana" w:hAnsi="Verdana" w:cs="Arial"/>
                <w:bCs/>
                <w:color w:val="000000"/>
                <w:sz w:val="22"/>
                <w:szCs w:val="22"/>
                <w:lang w:val="es-CO"/>
              </w:rPr>
            </w:pPr>
            <w:r w:rsidRPr="007E2443">
              <w:rPr>
                <w:rFonts w:ascii="Verdana" w:hAnsi="Verdana" w:cs="Arial"/>
                <w:bCs/>
                <w:color w:val="000000"/>
                <w:sz w:val="22"/>
                <w:szCs w:val="22"/>
              </w:rPr>
              <w:t>Lineamientos para la identificación, evaluación y</w:t>
            </w:r>
            <w:r w:rsidR="00FB1012">
              <w:rPr>
                <w:rFonts w:ascii="Verdana" w:hAnsi="Verdana" w:cs="Arial"/>
                <w:bCs/>
                <w:color w:val="000000"/>
                <w:sz w:val="22"/>
                <w:szCs w:val="22"/>
              </w:rPr>
              <w:t xml:space="preserve"> seguimiento</w:t>
            </w:r>
            <w:r w:rsidRPr="007E2443">
              <w:rPr>
                <w:rFonts w:ascii="Verdana" w:hAnsi="Verdana" w:cs="Arial"/>
                <w:bCs/>
                <w:color w:val="000000"/>
                <w:sz w:val="22"/>
                <w:szCs w:val="22"/>
              </w:rPr>
              <w:t>, control</w:t>
            </w:r>
            <w:r w:rsidR="00FB1012">
              <w:rPr>
                <w:rFonts w:ascii="Verdana" w:hAnsi="Verdana" w:cs="Arial"/>
                <w:bCs/>
                <w:color w:val="000000"/>
                <w:sz w:val="22"/>
                <w:szCs w:val="22"/>
              </w:rPr>
              <w:t xml:space="preserve"> y</w:t>
            </w:r>
            <w:r w:rsidRPr="007E2443">
              <w:rPr>
                <w:rFonts w:ascii="Verdana" w:hAnsi="Verdana" w:cs="Arial"/>
                <w:bCs/>
                <w:color w:val="000000"/>
                <w:sz w:val="22"/>
                <w:szCs w:val="22"/>
              </w:rPr>
              <w:t xml:space="preserve"> monitoreo del riesgo.</w:t>
            </w:r>
          </w:p>
          <w:p w14:paraId="74590299" w14:textId="77777777" w:rsidR="007E2443" w:rsidRPr="007E2443" w:rsidRDefault="007E2443" w:rsidP="007E2443">
            <w:pPr>
              <w:jc w:val="both"/>
              <w:rPr>
                <w:rFonts w:ascii="Verdana" w:hAnsi="Verdana" w:cs="Arial"/>
                <w:bCs/>
                <w:color w:val="000000"/>
                <w:sz w:val="22"/>
                <w:szCs w:val="22"/>
                <w:lang w:val="es-CO"/>
              </w:rPr>
            </w:pPr>
          </w:p>
          <w:p w14:paraId="15C5A6E3" w14:textId="4B63D74A" w:rsidR="006F0F5C" w:rsidRPr="006710DB" w:rsidRDefault="006F0F5C" w:rsidP="00E56081">
            <w:pPr>
              <w:numPr>
                <w:ilvl w:val="0"/>
                <w:numId w:val="19"/>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Factores generadores del riesgo de conductas</w:t>
            </w:r>
            <w:r w:rsidR="007B5FB3">
              <w:rPr>
                <w:rFonts w:ascii="Verdana" w:hAnsi="Verdana" w:cs="Arial"/>
                <w:bCs/>
                <w:color w:val="000000"/>
                <w:sz w:val="22"/>
                <w:szCs w:val="22"/>
                <w:lang w:val="es-CO"/>
              </w:rPr>
              <w:t xml:space="preserve"> de afectación al consumidor financiero</w:t>
            </w:r>
            <w:r w:rsidRPr="006710DB">
              <w:rPr>
                <w:rFonts w:ascii="Verdana" w:hAnsi="Verdana" w:cs="Arial"/>
                <w:bCs/>
                <w:color w:val="000000"/>
                <w:sz w:val="22"/>
                <w:szCs w:val="22"/>
                <w:lang w:val="es-CO"/>
              </w:rPr>
              <w:t>.</w:t>
            </w:r>
          </w:p>
          <w:p w14:paraId="5AA01D51" w14:textId="77777777" w:rsidR="006F0F5C" w:rsidRPr="006710DB" w:rsidRDefault="006F0F5C" w:rsidP="006F0F5C">
            <w:pPr>
              <w:jc w:val="both"/>
              <w:rPr>
                <w:rFonts w:ascii="Verdana" w:hAnsi="Verdana" w:cs="Arial"/>
                <w:bCs/>
                <w:color w:val="000000"/>
                <w:sz w:val="22"/>
                <w:szCs w:val="22"/>
                <w:lang w:val="es-CO"/>
              </w:rPr>
            </w:pPr>
          </w:p>
          <w:p w14:paraId="4B9197DF" w14:textId="77777777" w:rsidR="006F0F5C" w:rsidRPr="006710DB" w:rsidRDefault="006F0F5C" w:rsidP="00E56081">
            <w:pPr>
              <w:numPr>
                <w:ilvl w:val="0"/>
                <w:numId w:val="19"/>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Articulación con el sistema de control interno, los sistemas de administración de riesgos y los demás procesos internos pertinentes.</w:t>
            </w:r>
          </w:p>
          <w:p w14:paraId="62039A94" w14:textId="77777777" w:rsidR="006F0F5C" w:rsidRPr="006710DB" w:rsidRDefault="006F0F5C" w:rsidP="006F0F5C">
            <w:pPr>
              <w:jc w:val="both"/>
              <w:rPr>
                <w:rFonts w:ascii="Verdana" w:hAnsi="Verdana" w:cs="Arial"/>
                <w:bCs/>
                <w:color w:val="000000"/>
                <w:sz w:val="22"/>
                <w:szCs w:val="22"/>
                <w:lang w:val="es-CO"/>
              </w:rPr>
            </w:pPr>
          </w:p>
          <w:p w14:paraId="3F4DFBEE" w14:textId="77777777"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El proyecto se estructura bajo un enfoque de proporcionalidad, de manera que la implementación de las instrucciones tenga en cuenta la naturaleza jurídica de la entidad vigilada, su tamaño, complejidad, actividades desarrolladas, canales de distribución, productos ofrecidos, tipo de consumidores, afiliados, beneficiarios, inversionistas o usuarios atendidos, así como su perfil de riesgo.</w:t>
            </w:r>
          </w:p>
          <w:p w14:paraId="2DC69CF9" w14:textId="77777777" w:rsidR="006F0F5C" w:rsidRPr="006710DB" w:rsidRDefault="006F0F5C" w:rsidP="006F0F5C">
            <w:pPr>
              <w:jc w:val="both"/>
              <w:rPr>
                <w:rFonts w:ascii="Verdana" w:hAnsi="Verdana" w:cs="Arial"/>
                <w:bCs/>
                <w:color w:val="000000"/>
                <w:sz w:val="22"/>
                <w:szCs w:val="22"/>
                <w:lang w:val="es-CO"/>
              </w:rPr>
            </w:pPr>
          </w:p>
          <w:p w14:paraId="3780C92F" w14:textId="77777777" w:rsidR="006F0F5C" w:rsidRPr="006710DB" w:rsidRDefault="006F0F5C" w:rsidP="006F0F5C">
            <w:pPr>
              <w:jc w:val="both"/>
              <w:rPr>
                <w:rFonts w:ascii="Verdana" w:hAnsi="Verdana" w:cs="Arial"/>
                <w:bCs/>
                <w:color w:val="000000"/>
                <w:sz w:val="22"/>
                <w:szCs w:val="22"/>
                <w:lang w:val="es-CO"/>
              </w:rPr>
            </w:pPr>
          </w:p>
          <w:p w14:paraId="62B2E9E9" w14:textId="77777777" w:rsidR="006F0F5C" w:rsidRPr="006710DB" w:rsidRDefault="00011F57" w:rsidP="00011F57">
            <w:pPr>
              <w:numPr>
                <w:ilvl w:val="1"/>
                <w:numId w:val="17"/>
              </w:numPr>
              <w:jc w:val="both"/>
              <w:rPr>
                <w:rFonts w:ascii="Verdana" w:hAnsi="Verdana" w:cs="Arial"/>
                <w:b/>
                <w:color w:val="000000"/>
                <w:sz w:val="22"/>
                <w:szCs w:val="22"/>
                <w:lang w:val="es-CO"/>
              </w:rPr>
            </w:pPr>
            <w:r w:rsidRPr="006710DB">
              <w:rPr>
                <w:rFonts w:ascii="Verdana" w:hAnsi="Verdana" w:cs="Arial"/>
                <w:b/>
                <w:color w:val="000000"/>
                <w:sz w:val="22"/>
                <w:szCs w:val="22"/>
                <w:lang w:val="es-CO"/>
              </w:rPr>
              <w:lastRenderedPageBreak/>
              <w:t>Marco jurídico</w:t>
            </w:r>
          </w:p>
          <w:p w14:paraId="04C487AF" w14:textId="77777777" w:rsidR="00683649" w:rsidRPr="006710DB" w:rsidRDefault="00683649" w:rsidP="006F0F5C">
            <w:pPr>
              <w:jc w:val="both"/>
              <w:rPr>
                <w:rFonts w:ascii="Verdana" w:hAnsi="Verdana" w:cs="Arial"/>
                <w:bCs/>
                <w:color w:val="000000"/>
                <w:sz w:val="22"/>
                <w:szCs w:val="22"/>
                <w:lang w:val="es-CO"/>
              </w:rPr>
            </w:pPr>
          </w:p>
          <w:p w14:paraId="0295F79B" w14:textId="77777777"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La propuesta normativa se fundamenta, principalmente, en las siguientes disposiciones:</w:t>
            </w:r>
          </w:p>
          <w:p w14:paraId="4E489D2B" w14:textId="77777777" w:rsidR="00683649" w:rsidRPr="006710DB" w:rsidRDefault="00683649" w:rsidP="006F0F5C">
            <w:pPr>
              <w:jc w:val="both"/>
              <w:rPr>
                <w:rFonts w:ascii="Verdana" w:hAnsi="Verdana" w:cs="Arial"/>
                <w:bCs/>
                <w:color w:val="000000"/>
                <w:sz w:val="22"/>
                <w:szCs w:val="22"/>
                <w:lang w:val="es-CO"/>
              </w:rPr>
            </w:pPr>
          </w:p>
          <w:p w14:paraId="52C26CBD" w14:textId="5629F0F1" w:rsidR="006F0F5C" w:rsidRPr="006710DB" w:rsidRDefault="006F0F5C" w:rsidP="00683649">
            <w:pPr>
              <w:numPr>
                <w:ilvl w:val="0"/>
                <w:numId w:val="15"/>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El numeral 3 del artículo 326 del Estatuto Orgánico del Sistema Financiero, que faculta a la Superintendencia Financiera de Colombia para impartir instrucciones a las entidades sometidas a su inspección y vigilancia, con el fin de asegurar el cumplimiento de las normas que regulan su actividad</w:t>
            </w:r>
            <w:r w:rsidR="00AA093D">
              <w:rPr>
                <w:rFonts w:ascii="Verdana" w:hAnsi="Verdana" w:cs="Arial"/>
                <w:bCs/>
                <w:color w:val="000000"/>
                <w:sz w:val="22"/>
                <w:szCs w:val="22"/>
                <w:lang w:val="es-CO"/>
              </w:rPr>
              <w:t xml:space="preserve">, así como de establecer </w:t>
            </w:r>
            <w:r w:rsidR="00F75667">
              <w:rPr>
                <w:rFonts w:ascii="Verdana" w:hAnsi="Verdana" w:cs="Arial"/>
                <w:bCs/>
                <w:color w:val="000000"/>
                <w:sz w:val="22"/>
                <w:szCs w:val="22"/>
                <w:lang w:val="es-CO"/>
              </w:rPr>
              <w:t>reglas sobre la administración de los riesgos asociad</w:t>
            </w:r>
            <w:r w:rsidR="00CF31AB">
              <w:rPr>
                <w:rFonts w:ascii="Verdana" w:hAnsi="Verdana" w:cs="Arial"/>
                <w:bCs/>
                <w:color w:val="000000"/>
                <w:sz w:val="22"/>
                <w:szCs w:val="22"/>
                <w:lang w:val="es-CO"/>
              </w:rPr>
              <w:t>o</w:t>
            </w:r>
            <w:r w:rsidR="00F75667">
              <w:rPr>
                <w:rFonts w:ascii="Verdana" w:hAnsi="Verdana" w:cs="Arial"/>
                <w:bCs/>
                <w:color w:val="000000"/>
                <w:sz w:val="22"/>
                <w:szCs w:val="22"/>
                <w:lang w:val="es-CO"/>
              </w:rPr>
              <w:t xml:space="preserve">s a las actividades de las </w:t>
            </w:r>
            <w:r w:rsidR="00245045">
              <w:rPr>
                <w:rFonts w:ascii="Verdana" w:hAnsi="Verdana" w:cs="Arial"/>
                <w:bCs/>
                <w:color w:val="000000"/>
                <w:sz w:val="22"/>
                <w:szCs w:val="22"/>
                <w:lang w:val="es-CO"/>
              </w:rPr>
              <w:t>entidades</w:t>
            </w:r>
            <w:r w:rsidRPr="006710DB">
              <w:rPr>
                <w:rFonts w:ascii="Verdana" w:hAnsi="Verdana" w:cs="Arial"/>
                <w:bCs/>
                <w:color w:val="000000"/>
                <w:sz w:val="22"/>
                <w:szCs w:val="22"/>
                <w:lang w:val="es-CO"/>
              </w:rPr>
              <w:t>.</w:t>
            </w:r>
          </w:p>
          <w:p w14:paraId="07D271A5" w14:textId="77777777" w:rsidR="00683649" w:rsidRPr="006710DB" w:rsidRDefault="00683649" w:rsidP="00683649">
            <w:pPr>
              <w:ind w:left="720"/>
              <w:jc w:val="both"/>
              <w:rPr>
                <w:rFonts w:ascii="Verdana" w:hAnsi="Verdana" w:cs="Arial"/>
                <w:bCs/>
                <w:color w:val="000000"/>
                <w:sz w:val="22"/>
                <w:szCs w:val="22"/>
                <w:lang w:val="es-CO"/>
              </w:rPr>
            </w:pPr>
          </w:p>
          <w:p w14:paraId="2F5E7865" w14:textId="4817CB62" w:rsidR="006F0F5C" w:rsidRPr="006710DB" w:rsidRDefault="006F0F5C" w:rsidP="00683649">
            <w:pPr>
              <w:numPr>
                <w:ilvl w:val="0"/>
                <w:numId w:val="15"/>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Los numerales 4 y 5 del artículo 11.2.1.4.2 del Decreto 2555 de 2010, que atribuyen a la Superintendencia Financiera de Colombia la función de instruir a las entidades vigiladas sobre la manera como deben cumplirse las disposiciones que regulan su actividad, fijar los criterios técnicos y jurídicos que faciliten su cumplimiento y señalar procedimientos para su adecuada aplicación</w:t>
            </w:r>
            <w:r w:rsidR="00245045">
              <w:rPr>
                <w:rFonts w:ascii="Verdana" w:hAnsi="Verdana" w:cs="Arial"/>
                <w:bCs/>
                <w:color w:val="000000"/>
                <w:sz w:val="22"/>
                <w:szCs w:val="22"/>
                <w:lang w:val="es-CO"/>
              </w:rPr>
              <w:t xml:space="preserve"> (numeral 4), así como de establecer reglas sobre la administración de los riesgos asociad</w:t>
            </w:r>
            <w:r w:rsidR="00CF31AB">
              <w:rPr>
                <w:rFonts w:ascii="Verdana" w:hAnsi="Verdana" w:cs="Arial"/>
                <w:bCs/>
                <w:color w:val="000000"/>
                <w:sz w:val="22"/>
                <w:szCs w:val="22"/>
                <w:lang w:val="es-CO"/>
              </w:rPr>
              <w:t>o</w:t>
            </w:r>
            <w:r w:rsidR="00245045">
              <w:rPr>
                <w:rFonts w:ascii="Verdana" w:hAnsi="Verdana" w:cs="Arial"/>
                <w:bCs/>
                <w:color w:val="000000"/>
                <w:sz w:val="22"/>
                <w:szCs w:val="22"/>
                <w:lang w:val="es-CO"/>
              </w:rPr>
              <w:t>s a las actividades de las entidades</w:t>
            </w:r>
            <w:r w:rsidR="00DE5260">
              <w:rPr>
                <w:rFonts w:ascii="Verdana" w:hAnsi="Verdana" w:cs="Arial"/>
                <w:bCs/>
                <w:color w:val="000000"/>
                <w:sz w:val="22"/>
                <w:szCs w:val="22"/>
                <w:lang w:val="es-CO"/>
              </w:rPr>
              <w:t xml:space="preserve"> (numeral 5)</w:t>
            </w:r>
            <w:r w:rsidRPr="006710DB">
              <w:rPr>
                <w:rFonts w:ascii="Verdana" w:hAnsi="Verdana" w:cs="Arial"/>
                <w:bCs/>
                <w:color w:val="000000"/>
                <w:sz w:val="22"/>
                <w:szCs w:val="22"/>
                <w:lang w:val="es-CO"/>
              </w:rPr>
              <w:t>.</w:t>
            </w:r>
          </w:p>
          <w:p w14:paraId="563D9009" w14:textId="77777777" w:rsidR="00683649" w:rsidRPr="006710DB" w:rsidRDefault="00683649" w:rsidP="00683649">
            <w:pPr>
              <w:pStyle w:val="Prrafodelista"/>
              <w:rPr>
                <w:rFonts w:ascii="Verdana" w:hAnsi="Verdana" w:cs="Arial"/>
                <w:bCs/>
                <w:color w:val="000000"/>
                <w:sz w:val="22"/>
                <w:szCs w:val="22"/>
                <w:lang w:val="es-CO"/>
              </w:rPr>
            </w:pPr>
          </w:p>
          <w:p w14:paraId="12CB7ED7" w14:textId="77777777" w:rsidR="006F0F5C" w:rsidRPr="006710DB" w:rsidRDefault="006F0F5C" w:rsidP="006F0F5C">
            <w:pPr>
              <w:numPr>
                <w:ilvl w:val="0"/>
                <w:numId w:val="15"/>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La Ley 1328 de 2009, en especial las disposiciones relacionadas con el régimen de protección al consumidor financiero y los deberes de las entidades vigiladas frente a los consumidores financieros.</w:t>
            </w:r>
          </w:p>
          <w:p w14:paraId="23CDC238" w14:textId="77777777" w:rsidR="001C020C" w:rsidRPr="006710DB" w:rsidRDefault="001C020C" w:rsidP="001C020C">
            <w:pPr>
              <w:pStyle w:val="Prrafodelista"/>
              <w:rPr>
                <w:rFonts w:ascii="Verdana" w:hAnsi="Verdana" w:cs="Arial"/>
                <w:bCs/>
                <w:color w:val="000000"/>
                <w:sz w:val="22"/>
                <w:szCs w:val="22"/>
                <w:lang w:val="es-CO"/>
              </w:rPr>
            </w:pPr>
          </w:p>
          <w:p w14:paraId="27A09618" w14:textId="77777777" w:rsidR="006F0F5C" w:rsidRPr="006710DB" w:rsidRDefault="006F0F5C" w:rsidP="00683649">
            <w:pPr>
              <w:numPr>
                <w:ilvl w:val="0"/>
                <w:numId w:val="15"/>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La Ley 964 de 2005, en lo relacionado con la protección de los inversionistas, la transparencia, la integridad y el adecuado funcionamiento del mercado de valores.</w:t>
            </w:r>
          </w:p>
          <w:p w14:paraId="56AACF97" w14:textId="77777777" w:rsidR="001C020C" w:rsidRPr="006710DB" w:rsidRDefault="001C020C" w:rsidP="001C020C">
            <w:pPr>
              <w:pStyle w:val="Prrafodelista"/>
              <w:rPr>
                <w:rFonts w:ascii="Verdana" w:hAnsi="Verdana" w:cs="Arial"/>
                <w:bCs/>
                <w:color w:val="000000"/>
                <w:sz w:val="22"/>
                <w:szCs w:val="22"/>
                <w:lang w:val="es-CO"/>
              </w:rPr>
            </w:pPr>
          </w:p>
          <w:p w14:paraId="71EAA886" w14:textId="77777777" w:rsidR="006F0F5C" w:rsidRPr="006710DB" w:rsidRDefault="006F0F5C" w:rsidP="006F0F5C">
            <w:pPr>
              <w:numPr>
                <w:ilvl w:val="0"/>
                <w:numId w:val="15"/>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Las disposiciones pertinentes del Estatuto Orgánico del Sistema Financiero y del Decreto 2555 de 2010, en cuanto regulan la actividad de las entidades vigiladas y las facultades de supervisión e instrucción de la Superintendencia Financiera de Colombia.</w:t>
            </w:r>
          </w:p>
          <w:p w14:paraId="52500042" w14:textId="77777777" w:rsidR="00683649" w:rsidRPr="006710DB" w:rsidRDefault="00683649" w:rsidP="006F0F5C">
            <w:pPr>
              <w:jc w:val="both"/>
              <w:rPr>
                <w:rFonts w:ascii="Verdana" w:hAnsi="Verdana" w:cs="Arial"/>
                <w:bCs/>
                <w:color w:val="000000"/>
                <w:sz w:val="22"/>
                <w:szCs w:val="22"/>
                <w:lang w:val="es-CO"/>
              </w:rPr>
            </w:pPr>
          </w:p>
          <w:p w14:paraId="6226CD40" w14:textId="77777777"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La Ley 1328 de 2009 establece el régimen de protección al consumidor financiero y consagra obligaciones aplicables a las entidades vigiladas en sus relaciones con los consumidores financieros, particularmente en materia de debida diligencia, transparencia e información cierta, suficiente y oportuna, así como de atención adecuada de sus quejas, peticiones y reclamos. Estas disposiciones constituyen un fundamento relevante para impartir instrucciones dirigidas a prevenir conductas que puedan afectar los derechos de los consumidores financieros o comprometer la transparencia en la prestación de productos y servicios financieros.</w:t>
            </w:r>
          </w:p>
          <w:p w14:paraId="059CF1F6" w14:textId="77777777" w:rsidR="00683649" w:rsidRPr="006710DB" w:rsidRDefault="00683649" w:rsidP="006F0F5C">
            <w:pPr>
              <w:jc w:val="both"/>
              <w:rPr>
                <w:rFonts w:ascii="Verdana" w:hAnsi="Verdana" w:cs="Arial"/>
                <w:bCs/>
                <w:color w:val="000000"/>
                <w:sz w:val="22"/>
                <w:szCs w:val="22"/>
                <w:lang w:val="es-CO"/>
              </w:rPr>
            </w:pPr>
          </w:p>
          <w:p w14:paraId="70FB1872" w14:textId="77777777"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Por su parte, la Ley 964 de 2005 constituye un referente normativo relevante para la gestión de conductas que puedan afectar la transparencia, integridad y adecuado funcionamiento del mercado de valores, así como la confianza de los inversionistas.</w:t>
            </w:r>
          </w:p>
          <w:p w14:paraId="6BE5C273" w14:textId="77777777" w:rsidR="00683649" w:rsidRPr="006710DB" w:rsidRDefault="00683649" w:rsidP="006F0F5C">
            <w:pPr>
              <w:jc w:val="both"/>
              <w:rPr>
                <w:rFonts w:ascii="Verdana" w:hAnsi="Verdana" w:cs="Arial"/>
                <w:bCs/>
                <w:color w:val="000000"/>
                <w:sz w:val="22"/>
                <w:szCs w:val="22"/>
                <w:lang w:val="es-CO"/>
              </w:rPr>
            </w:pPr>
          </w:p>
          <w:p w14:paraId="6861AB7D" w14:textId="77777777" w:rsidR="006F0F5C" w:rsidRPr="006710DB" w:rsidRDefault="006F0F5C" w:rsidP="006F0F5C">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Estas fuentes habilitan a la Superintendencia Financiera de Colombia para impartir instrucciones generales dirigidas a que las entidades vigiladas gestionen adecuadamente los riesgos asociados a su actividad, incluyendo aquellos derivados de conductas que puedan afectar a los consumidores financieros o la transparencia e integridad de los mercados.</w:t>
            </w:r>
          </w:p>
          <w:p w14:paraId="18AD6F02" w14:textId="77777777" w:rsidR="00122071" w:rsidRPr="006710DB" w:rsidRDefault="00122071" w:rsidP="006F0F5C">
            <w:pPr>
              <w:jc w:val="both"/>
              <w:rPr>
                <w:rFonts w:ascii="Verdana" w:hAnsi="Verdana" w:cs="Arial"/>
                <w:bCs/>
                <w:color w:val="000000"/>
                <w:sz w:val="22"/>
                <w:szCs w:val="22"/>
                <w:lang w:val="es-CO"/>
              </w:rPr>
            </w:pPr>
          </w:p>
          <w:p w14:paraId="50886629" w14:textId="77777777" w:rsidR="006F0F5C" w:rsidRPr="006710DB" w:rsidRDefault="00011F57" w:rsidP="00011F57">
            <w:pPr>
              <w:numPr>
                <w:ilvl w:val="1"/>
                <w:numId w:val="17"/>
              </w:numPr>
              <w:jc w:val="both"/>
              <w:rPr>
                <w:rFonts w:ascii="Verdana" w:hAnsi="Verdana" w:cs="Arial"/>
                <w:b/>
                <w:color w:val="000000"/>
                <w:sz w:val="22"/>
                <w:szCs w:val="22"/>
                <w:lang w:val="es-CO"/>
              </w:rPr>
            </w:pPr>
            <w:r w:rsidRPr="006710DB">
              <w:rPr>
                <w:rFonts w:ascii="Verdana" w:hAnsi="Verdana" w:cs="Arial"/>
                <w:b/>
                <w:color w:val="000000"/>
                <w:sz w:val="22"/>
                <w:szCs w:val="22"/>
                <w:lang w:val="es-CO"/>
              </w:rPr>
              <w:t>Impacto esperado</w:t>
            </w:r>
          </w:p>
          <w:p w14:paraId="1BC402D8" w14:textId="77777777" w:rsidR="00683649" w:rsidRPr="006710DB" w:rsidRDefault="00683649" w:rsidP="006F0F5C">
            <w:pPr>
              <w:jc w:val="both"/>
              <w:rPr>
                <w:rFonts w:ascii="Verdana" w:hAnsi="Verdana" w:cs="Arial"/>
                <w:b/>
                <w:color w:val="000000"/>
                <w:sz w:val="22"/>
                <w:szCs w:val="22"/>
                <w:lang w:val="es-CO"/>
              </w:rPr>
            </w:pPr>
          </w:p>
          <w:p w14:paraId="49ADEB0A" w14:textId="6235B928" w:rsidR="00122071" w:rsidRPr="006710DB" w:rsidRDefault="006F0F5C" w:rsidP="00122071">
            <w:pPr>
              <w:jc w:val="both"/>
              <w:rPr>
                <w:rFonts w:ascii="Verdana" w:hAnsi="Verdana" w:cs="Arial"/>
                <w:bCs/>
                <w:color w:val="000000"/>
                <w:sz w:val="22"/>
                <w:szCs w:val="22"/>
                <w:lang w:val="es-CO"/>
              </w:rPr>
            </w:pPr>
            <w:r w:rsidRPr="006710DB">
              <w:rPr>
                <w:rFonts w:ascii="Verdana" w:hAnsi="Verdana" w:cs="Arial"/>
                <w:bCs/>
                <w:color w:val="000000"/>
                <w:sz w:val="22"/>
                <w:szCs w:val="22"/>
                <w:lang w:val="es-CO"/>
              </w:rPr>
              <w:lastRenderedPageBreak/>
              <w:t xml:space="preserve">La expedición de la Circular Externa permitirá fortalecer la gestión preventiva del riesgo de conductas </w:t>
            </w:r>
            <w:r w:rsidR="00D87F7E">
              <w:rPr>
                <w:rFonts w:ascii="Verdana" w:hAnsi="Verdana" w:cs="Arial"/>
                <w:bCs/>
                <w:color w:val="000000"/>
                <w:sz w:val="22"/>
                <w:szCs w:val="22"/>
                <w:lang w:val="es-CO"/>
              </w:rPr>
              <w:t>de afectación al consumidor financieros por parte de</w:t>
            </w:r>
            <w:r w:rsidRPr="006710DB">
              <w:rPr>
                <w:rFonts w:ascii="Verdana" w:hAnsi="Verdana" w:cs="Arial"/>
                <w:bCs/>
                <w:color w:val="000000"/>
                <w:sz w:val="22"/>
                <w:szCs w:val="22"/>
                <w:lang w:val="es-CO"/>
              </w:rPr>
              <w:t xml:space="preserve"> las entidades vigiladas, mediante la incorporación de </w:t>
            </w:r>
            <w:r w:rsidR="00D87F7E" w:rsidRPr="00122071">
              <w:rPr>
                <w:rFonts w:ascii="Verdana" w:hAnsi="Verdana" w:cs="Arial"/>
                <w:bCs/>
                <w:color w:val="000000"/>
                <w:sz w:val="22"/>
                <w:szCs w:val="22"/>
              </w:rPr>
              <w:t>criterios</w:t>
            </w:r>
            <w:r w:rsidR="00122071" w:rsidRPr="00122071">
              <w:rPr>
                <w:rFonts w:ascii="Verdana" w:hAnsi="Verdana" w:cs="Arial"/>
                <w:bCs/>
                <w:color w:val="000000"/>
                <w:sz w:val="22"/>
                <w:szCs w:val="22"/>
              </w:rPr>
              <w:t xml:space="preserve"> mínimos que orienten su identificación, evaluación y análisis, control</w:t>
            </w:r>
            <w:r w:rsidR="00D87F7E">
              <w:rPr>
                <w:rFonts w:ascii="Verdana" w:hAnsi="Verdana" w:cs="Arial"/>
                <w:bCs/>
                <w:color w:val="000000"/>
                <w:sz w:val="22"/>
                <w:szCs w:val="22"/>
              </w:rPr>
              <w:t xml:space="preserve"> y</w:t>
            </w:r>
            <w:r w:rsidR="00122071" w:rsidRPr="00122071">
              <w:rPr>
                <w:rFonts w:ascii="Verdana" w:hAnsi="Verdana" w:cs="Arial"/>
                <w:bCs/>
                <w:color w:val="000000"/>
                <w:sz w:val="22"/>
                <w:szCs w:val="22"/>
              </w:rPr>
              <w:t xml:space="preserve"> monitoreo revisión.</w:t>
            </w:r>
          </w:p>
          <w:p w14:paraId="301EBEEB" w14:textId="77777777" w:rsidR="0078252C" w:rsidRPr="006710DB" w:rsidRDefault="0078252C" w:rsidP="006F0F5C">
            <w:pPr>
              <w:jc w:val="both"/>
              <w:rPr>
                <w:rFonts w:ascii="Verdana" w:hAnsi="Verdana" w:cs="Arial"/>
                <w:bCs/>
                <w:color w:val="000000"/>
                <w:sz w:val="22"/>
                <w:szCs w:val="22"/>
                <w:lang w:val="es-CO"/>
              </w:rPr>
            </w:pPr>
          </w:p>
          <w:p w14:paraId="268F0082" w14:textId="420D1191" w:rsidR="006F0F5C" w:rsidRPr="006710DB" w:rsidRDefault="00D87F7E" w:rsidP="006F0F5C">
            <w:pPr>
              <w:jc w:val="both"/>
              <w:rPr>
                <w:rFonts w:ascii="Verdana" w:hAnsi="Verdana" w:cs="Arial"/>
                <w:bCs/>
                <w:color w:val="000000"/>
                <w:sz w:val="22"/>
                <w:szCs w:val="22"/>
                <w:lang w:val="es-CO"/>
              </w:rPr>
            </w:pPr>
            <w:r>
              <w:rPr>
                <w:rFonts w:ascii="Verdana" w:hAnsi="Verdana" w:cs="Arial"/>
                <w:bCs/>
                <w:color w:val="000000"/>
                <w:sz w:val="22"/>
                <w:szCs w:val="22"/>
                <w:lang w:val="es-CO"/>
              </w:rPr>
              <w:t>Así pues, s</w:t>
            </w:r>
            <w:r w:rsidR="006F0F5C" w:rsidRPr="006710DB">
              <w:rPr>
                <w:rFonts w:ascii="Verdana" w:hAnsi="Verdana" w:cs="Arial"/>
                <w:bCs/>
                <w:color w:val="000000"/>
                <w:sz w:val="22"/>
                <w:szCs w:val="22"/>
                <w:lang w:val="es-CO"/>
              </w:rPr>
              <w:t>e espera que la regulación contribuya a:</w:t>
            </w:r>
          </w:p>
          <w:p w14:paraId="57134B79" w14:textId="77777777" w:rsidR="0078252C" w:rsidRPr="006710DB" w:rsidRDefault="0078252C" w:rsidP="006F0F5C">
            <w:pPr>
              <w:jc w:val="both"/>
              <w:rPr>
                <w:rFonts w:ascii="Verdana" w:hAnsi="Verdana" w:cs="Arial"/>
                <w:bCs/>
                <w:color w:val="000000"/>
                <w:sz w:val="22"/>
                <w:szCs w:val="22"/>
                <w:lang w:val="es-CO"/>
              </w:rPr>
            </w:pPr>
          </w:p>
          <w:p w14:paraId="1A434F67" w14:textId="77777777" w:rsidR="006F0F5C" w:rsidRPr="006710DB" w:rsidRDefault="006F0F5C"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Mejorar la gestión preventiva de eventos que puedan afectar a los consumidores financieros.</w:t>
            </w:r>
          </w:p>
          <w:p w14:paraId="2349F238" w14:textId="77777777" w:rsidR="006C16D0" w:rsidRPr="006710DB" w:rsidRDefault="006C16D0" w:rsidP="006C16D0">
            <w:pPr>
              <w:ind w:left="720"/>
              <w:jc w:val="both"/>
              <w:rPr>
                <w:rFonts w:ascii="Verdana" w:hAnsi="Verdana" w:cs="Arial"/>
                <w:bCs/>
                <w:color w:val="000000"/>
                <w:sz w:val="22"/>
                <w:szCs w:val="22"/>
                <w:lang w:val="es-CO"/>
              </w:rPr>
            </w:pPr>
          </w:p>
          <w:p w14:paraId="66DE12FA" w14:textId="77777777" w:rsidR="006F0F5C" w:rsidRPr="006710DB" w:rsidRDefault="006F0F5C"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Fortalecer la confianza en las entidades vigiladas y en los mercados.</w:t>
            </w:r>
          </w:p>
          <w:p w14:paraId="708AE958" w14:textId="77777777" w:rsidR="006C16D0" w:rsidRPr="006710DB" w:rsidRDefault="006C16D0" w:rsidP="006C16D0">
            <w:pPr>
              <w:pStyle w:val="Prrafodelista"/>
              <w:rPr>
                <w:rFonts w:ascii="Verdana" w:hAnsi="Verdana" w:cs="Arial"/>
                <w:bCs/>
                <w:color w:val="000000"/>
                <w:sz w:val="22"/>
                <w:szCs w:val="22"/>
                <w:lang w:val="es-CO"/>
              </w:rPr>
            </w:pPr>
          </w:p>
          <w:p w14:paraId="1C26BDB9" w14:textId="77777777" w:rsidR="00683649" w:rsidRPr="006710DB" w:rsidRDefault="0011763B"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rPr>
              <w:t>Promover prácticas comerciales, operativas y organizacionales consistentes con la transparencia, la debida diligencia y el cumplimiento de las obligaciones aplicables a las entidades vigiladas</w:t>
            </w:r>
            <w:r w:rsidR="006F0F5C" w:rsidRPr="006710DB">
              <w:rPr>
                <w:rFonts w:ascii="Verdana" w:hAnsi="Verdana" w:cs="Arial"/>
                <w:bCs/>
                <w:color w:val="000000"/>
                <w:sz w:val="22"/>
                <w:szCs w:val="22"/>
                <w:lang w:val="es-CO"/>
              </w:rPr>
              <w:t>.</w:t>
            </w:r>
          </w:p>
          <w:p w14:paraId="1549134A" w14:textId="77777777" w:rsidR="006C16D0" w:rsidRPr="006710DB" w:rsidRDefault="006C16D0" w:rsidP="006C16D0">
            <w:pPr>
              <w:pStyle w:val="Prrafodelista"/>
              <w:rPr>
                <w:rFonts w:ascii="Verdana" w:hAnsi="Verdana" w:cs="Arial"/>
                <w:bCs/>
                <w:color w:val="000000"/>
                <w:sz w:val="22"/>
                <w:szCs w:val="22"/>
                <w:lang w:val="es-CO"/>
              </w:rPr>
            </w:pPr>
          </w:p>
          <w:p w14:paraId="2F75B063" w14:textId="77777777" w:rsidR="006F0F5C" w:rsidRPr="006710DB" w:rsidRDefault="006F0F5C"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Reducir riesgos reputacionales, legales, operacionales y de cumplimiento asociados a conductas inadecuadas.</w:t>
            </w:r>
          </w:p>
          <w:p w14:paraId="50FC89C6" w14:textId="77777777" w:rsidR="006C16D0" w:rsidRPr="006710DB" w:rsidRDefault="006C16D0" w:rsidP="006C16D0">
            <w:pPr>
              <w:pStyle w:val="Prrafodelista"/>
              <w:rPr>
                <w:rFonts w:ascii="Verdana" w:hAnsi="Verdana" w:cs="Arial"/>
                <w:bCs/>
                <w:color w:val="000000"/>
                <w:sz w:val="22"/>
                <w:szCs w:val="22"/>
                <w:lang w:val="es-CO"/>
              </w:rPr>
            </w:pPr>
          </w:p>
          <w:p w14:paraId="033E5989" w14:textId="77777777" w:rsidR="006F0F5C" w:rsidRPr="006710DB" w:rsidRDefault="006F0F5C"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Facilitar la actuación supervisora de la Superintendencia Financiera de Colombia mediante un marco regulatorio más claro.</w:t>
            </w:r>
          </w:p>
          <w:p w14:paraId="09FD7FC4" w14:textId="77777777" w:rsidR="006C16D0" w:rsidRPr="006710DB" w:rsidRDefault="006C16D0" w:rsidP="006C16D0">
            <w:pPr>
              <w:pStyle w:val="Prrafodelista"/>
              <w:rPr>
                <w:rFonts w:ascii="Verdana" w:hAnsi="Verdana" w:cs="Arial"/>
                <w:bCs/>
                <w:color w:val="000000"/>
                <w:sz w:val="22"/>
                <w:szCs w:val="22"/>
                <w:lang w:val="es-CO"/>
              </w:rPr>
            </w:pPr>
          </w:p>
          <w:p w14:paraId="5D1B2F03" w14:textId="77777777" w:rsidR="006F0F5C" w:rsidRPr="006710DB" w:rsidRDefault="006F0F5C" w:rsidP="006C16D0">
            <w:pPr>
              <w:numPr>
                <w:ilvl w:val="0"/>
                <w:numId w:val="21"/>
              </w:numPr>
              <w:jc w:val="both"/>
              <w:rPr>
                <w:rFonts w:ascii="Verdana" w:hAnsi="Verdana" w:cs="Arial"/>
                <w:bCs/>
                <w:color w:val="000000"/>
                <w:sz w:val="22"/>
                <w:szCs w:val="22"/>
                <w:lang w:val="es-CO"/>
              </w:rPr>
            </w:pPr>
            <w:r w:rsidRPr="006710DB">
              <w:rPr>
                <w:rFonts w:ascii="Verdana" w:hAnsi="Verdana" w:cs="Arial"/>
                <w:bCs/>
                <w:color w:val="000000"/>
                <w:sz w:val="22"/>
                <w:szCs w:val="22"/>
                <w:lang w:val="es-CO"/>
              </w:rPr>
              <w:t>Reforzar la articulación entre los sistemas de administración de riesgos, el sistema de control interno, el gobierno corporativo y los mecanismos de protección al consumidor financiero.</w:t>
            </w:r>
          </w:p>
          <w:p w14:paraId="228F9A32" w14:textId="77777777" w:rsidR="004C7653" w:rsidRPr="006710DB" w:rsidRDefault="004C7653" w:rsidP="006F0F5C">
            <w:pPr>
              <w:jc w:val="both"/>
              <w:rPr>
                <w:rFonts w:ascii="Verdana" w:hAnsi="Verdana" w:cs="Arial"/>
                <w:b/>
                <w:color w:val="000000"/>
                <w:sz w:val="22"/>
                <w:szCs w:val="22"/>
                <w:lang w:val="es-CO"/>
              </w:rPr>
            </w:pPr>
          </w:p>
          <w:p w14:paraId="6647B546" w14:textId="77777777" w:rsidR="000A116B" w:rsidRPr="006710DB" w:rsidRDefault="000A116B" w:rsidP="006F649F">
            <w:pPr>
              <w:jc w:val="both"/>
              <w:rPr>
                <w:rFonts w:ascii="Verdana" w:eastAsia="Calibri" w:hAnsi="Verdana" w:cs="Arial"/>
                <w:sz w:val="22"/>
                <w:szCs w:val="22"/>
                <w:lang w:val="es-CO" w:eastAsia="en-US"/>
              </w:rPr>
            </w:pPr>
          </w:p>
        </w:tc>
      </w:tr>
      <w:tr w:rsidR="00DF60FD" w:rsidRPr="006710DB" w14:paraId="65CFB70B" w14:textId="77777777" w:rsidTr="0075705D">
        <w:trPr>
          <w:trHeight w:val="47"/>
        </w:trPr>
        <w:tc>
          <w:tcPr>
            <w:tcW w:w="10774" w:type="dxa"/>
            <w:gridSpan w:val="3"/>
            <w:shd w:val="clear" w:color="auto" w:fill="FFFFFF"/>
            <w:vAlign w:val="center"/>
          </w:tcPr>
          <w:p w14:paraId="362FE0CC" w14:textId="77777777" w:rsidR="00251FCE" w:rsidRPr="006710DB" w:rsidRDefault="00251FCE" w:rsidP="0075705D">
            <w:pPr>
              <w:jc w:val="both"/>
              <w:rPr>
                <w:rFonts w:ascii="Verdana" w:hAnsi="Verdana"/>
                <w:sz w:val="22"/>
                <w:szCs w:val="22"/>
                <w:lang w:eastAsia="es-CO"/>
              </w:rPr>
            </w:pPr>
          </w:p>
        </w:tc>
      </w:tr>
      <w:tr w:rsidR="00DF60FD" w:rsidRPr="006710DB" w14:paraId="7BFEB9F1" w14:textId="77777777" w:rsidTr="0075705D">
        <w:trPr>
          <w:trHeight w:val="66"/>
        </w:trPr>
        <w:tc>
          <w:tcPr>
            <w:tcW w:w="10774" w:type="dxa"/>
            <w:gridSpan w:val="3"/>
            <w:tcBorders>
              <w:top w:val="single" w:sz="4" w:space="0" w:color="auto"/>
              <w:bottom w:val="single" w:sz="4" w:space="0" w:color="auto"/>
            </w:tcBorders>
            <w:shd w:val="clear" w:color="auto" w:fill="FFFFFF"/>
            <w:vAlign w:val="center"/>
          </w:tcPr>
          <w:p w14:paraId="6CADFF07" w14:textId="77777777" w:rsidR="00DF60FD" w:rsidRPr="006710DB" w:rsidRDefault="00DF60FD" w:rsidP="004C7653">
            <w:pPr>
              <w:numPr>
                <w:ilvl w:val="0"/>
                <w:numId w:val="5"/>
              </w:numPr>
              <w:rPr>
                <w:rFonts w:ascii="Verdana" w:hAnsi="Verdana" w:cs="Arial"/>
                <w:b/>
                <w:color w:val="000000"/>
                <w:sz w:val="22"/>
                <w:szCs w:val="22"/>
              </w:rPr>
            </w:pPr>
            <w:r w:rsidRPr="006710DB">
              <w:rPr>
                <w:rFonts w:ascii="Verdana" w:hAnsi="Verdana" w:cs="Arial"/>
                <w:b/>
                <w:color w:val="000000"/>
                <w:sz w:val="22"/>
                <w:szCs w:val="22"/>
              </w:rPr>
              <w:t>AMBITO DE APLICACIÓN Y SUJETO</w:t>
            </w:r>
            <w:r w:rsidR="00795C6B" w:rsidRPr="006710DB">
              <w:rPr>
                <w:rFonts w:ascii="Verdana" w:hAnsi="Verdana" w:cs="Arial"/>
                <w:b/>
                <w:color w:val="000000"/>
                <w:sz w:val="22"/>
                <w:szCs w:val="22"/>
              </w:rPr>
              <w:t>S</w:t>
            </w:r>
            <w:r w:rsidRPr="006710DB">
              <w:rPr>
                <w:rFonts w:ascii="Verdana" w:hAnsi="Verdana" w:cs="Arial"/>
                <w:b/>
                <w:color w:val="000000"/>
                <w:sz w:val="22"/>
                <w:szCs w:val="22"/>
              </w:rPr>
              <w:t xml:space="preserve"> A QUIEN</w:t>
            </w:r>
            <w:r w:rsidR="00795C6B" w:rsidRPr="006710DB">
              <w:rPr>
                <w:rFonts w:ascii="Verdana" w:hAnsi="Verdana" w:cs="Arial"/>
                <w:b/>
                <w:color w:val="000000"/>
                <w:sz w:val="22"/>
                <w:szCs w:val="22"/>
              </w:rPr>
              <w:t>ES</w:t>
            </w:r>
            <w:r w:rsidRPr="006710DB">
              <w:rPr>
                <w:rFonts w:ascii="Verdana" w:hAnsi="Verdana" w:cs="Arial"/>
                <w:b/>
                <w:color w:val="000000"/>
                <w:sz w:val="22"/>
                <w:szCs w:val="22"/>
              </w:rPr>
              <w:t xml:space="preserve"> VA DIRIGIDO</w:t>
            </w:r>
          </w:p>
          <w:p w14:paraId="6A1DAE2B" w14:textId="77777777" w:rsidR="00795C6B" w:rsidRPr="006710DB" w:rsidRDefault="00795C6B" w:rsidP="0075705D">
            <w:pPr>
              <w:rPr>
                <w:rFonts w:ascii="Verdana" w:hAnsi="Verdana" w:cs="Arial"/>
                <w:b/>
                <w:color w:val="000000"/>
                <w:sz w:val="22"/>
                <w:szCs w:val="22"/>
              </w:rPr>
            </w:pPr>
          </w:p>
          <w:p w14:paraId="0FAFA6ED" w14:textId="77777777" w:rsidR="00122071" w:rsidRDefault="00122071" w:rsidP="008F771C">
            <w:pPr>
              <w:spacing w:after="160" w:line="278" w:lineRule="auto"/>
              <w:jc w:val="both"/>
              <w:rPr>
                <w:rFonts w:ascii="Verdana" w:hAnsi="Verdana"/>
                <w:sz w:val="22"/>
                <w:szCs w:val="22"/>
              </w:rPr>
            </w:pPr>
            <w:r w:rsidRPr="00122071">
              <w:rPr>
                <w:rFonts w:ascii="Verdana" w:hAnsi="Verdana"/>
                <w:sz w:val="22"/>
                <w:szCs w:val="22"/>
              </w:rPr>
              <w:t xml:space="preserve">Las instrucciones </w:t>
            </w:r>
            <w:r>
              <w:rPr>
                <w:rFonts w:ascii="Verdana" w:hAnsi="Verdana"/>
                <w:sz w:val="22"/>
                <w:szCs w:val="22"/>
              </w:rPr>
              <w:t>están</w:t>
            </w:r>
            <w:r w:rsidRPr="00122071">
              <w:rPr>
                <w:rFonts w:ascii="Verdana" w:hAnsi="Verdana"/>
                <w:sz w:val="22"/>
                <w:szCs w:val="22"/>
              </w:rPr>
              <w:t xml:space="preserve"> dirigidas a las entidades vigiladas por la Superintendencia Financiera de Colombia que, en desarrollo de su actividad, tengan relación directa con consumidores financieros, afiliados, beneficiarios, inversionistas o usuarios, o intervengan directamente en la prestación, distribución, comercialización o administración de productos o servicios financieros dirigidos a dichos destinatarios, de conformidad con el ámbito de aplicación previsto en el proyecto normativo.</w:t>
            </w:r>
          </w:p>
          <w:p w14:paraId="60A39CE0" w14:textId="77777777" w:rsidR="008F771C" w:rsidRPr="006710DB" w:rsidRDefault="008F771C" w:rsidP="008F771C">
            <w:pPr>
              <w:spacing w:after="160" w:line="278" w:lineRule="auto"/>
              <w:jc w:val="both"/>
              <w:rPr>
                <w:rFonts w:ascii="Verdana" w:hAnsi="Verdana"/>
                <w:sz w:val="22"/>
                <w:szCs w:val="22"/>
                <w:lang w:val="es-CO"/>
              </w:rPr>
            </w:pPr>
            <w:r w:rsidRPr="006710DB">
              <w:rPr>
                <w:rFonts w:ascii="Verdana" w:hAnsi="Verdana"/>
                <w:sz w:val="22"/>
                <w:szCs w:val="22"/>
                <w:lang w:val="es-CO"/>
              </w:rPr>
              <w:t>El ámbito de aplicación debe interpretarse de conformidad con el texto del proyecto normativo, el principio de proporcionalidad y la naturaleza de las actividades desarrolladas por cada entidad. En esa medida, la implementación del GERCO deberá ajustarse a la estructura, tamaño, complejidad, modelo de negocio, canales de atención, productos ofrecidos y perfil de riesgo de cada entidad vigilada.</w:t>
            </w:r>
          </w:p>
          <w:p w14:paraId="7FC621DA" w14:textId="66111EF4" w:rsidR="008F771C" w:rsidRPr="006710DB" w:rsidRDefault="008F771C" w:rsidP="008F771C">
            <w:pPr>
              <w:spacing w:after="160" w:line="278" w:lineRule="auto"/>
              <w:jc w:val="both"/>
              <w:rPr>
                <w:rFonts w:ascii="Verdana" w:hAnsi="Verdana"/>
                <w:sz w:val="22"/>
                <w:szCs w:val="22"/>
                <w:lang w:val="es-CO"/>
              </w:rPr>
            </w:pPr>
            <w:r w:rsidRPr="006710DB">
              <w:rPr>
                <w:rFonts w:ascii="Verdana" w:hAnsi="Verdana"/>
                <w:sz w:val="22"/>
                <w:szCs w:val="22"/>
                <w:lang w:val="es-CO"/>
              </w:rPr>
              <w:t xml:space="preserve">Las instrucciones sobre </w:t>
            </w:r>
            <w:r w:rsidR="006F649F">
              <w:rPr>
                <w:rFonts w:ascii="Verdana" w:hAnsi="Verdana"/>
                <w:sz w:val="22"/>
                <w:szCs w:val="22"/>
                <w:lang w:val="es-CO"/>
              </w:rPr>
              <w:t xml:space="preserve">el </w:t>
            </w:r>
            <w:r w:rsidRPr="006710DB">
              <w:rPr>
                <w:rFonts w:ascii="Verdana" w:hAnsi="Verdana"/>
                <w:sz w:val="22"/>
                <w:szCs w:val="22"/>
                <w:lang w:val="es-CO"/>
              </w:rPr>
              <w:t xml:space="preserve">GERCO buscan fortalecer la gestión preventiva de conductas que puedan afectar a los consumidores financieros, la transparencia, la integridad de los mercados </w:t>
            </w:r>
            <w:r w:rsidRPr="006710DB">
              <w:rPr>
                <w:rFonts w:ascii="Verdana" w:hAnsi="Verdana"/>
                <w:sz w:val="22"/>
                <w:szCs w:val="22"/>
                <w:lang w:val="es-CO"/>
              </w:rPr>
              <w:lastRenderedPageBreak/>
              <w:t>o la confianza pública. Su aplicación no sustituye las obligaciones propias del Sistema de Atención al Consumidor Financiero – SAC ni las previstas en otros sistemas de administración de riesgos, sino que debe articularse con ellas para evitar duplicidades, vacíos de cobertura o interpretaciones fragmentadas.</w:t>
            </w:r>
          </w:p>
          <w:p w14:paraId="6F0D9849" w14:textId="77777777" w:rsidR="00A425E9" w:rsidRPr="006710DB" w:rsidRDefault="00A425E9" w:rsidP="0075705D">
            <w:pPr>
              <w:rPr>
                <w:rFonts w:ascii="Verdana" w:hAnsi="Verdana" w:cs="Arial"/>
                <w:b/>
                <w:color w:val="000000"/>
                <w:sz w:val="22"/>
                <w:szCs w:val="22"/>
                <w:lang w:val="es-CO"/>
              </w:rPr>
            </w:pPr>
          </w:p>
          <w:p w14:paraId="77981E87" w14:textId="77777777" w:rsidR="00795C6B" w:rsidRPr="006710DB" w:rsidRDefault="00795C6B" w:rsidP="0075705D">
            <w:pPr>
              <w:rPr>
                <w:rFonts w:ascii="Verdana" w:hAnsi="Verdana" w:cs="Arial"/>
                <w:b/>
                <w:color w:val="000000"/>
                <w:sz w:val="22"/>
                <w:szCs w:val="22"/>
              </w:rPr>
            </w:pPr>
          </w:p>
          <w:p w14:paraId="21D8248B" w14:textId="77777777" w:rsidR="00795C6B" w:rsidRPr="006710DB" w:rsidRDefault="00795C6B" w:rsidP="0075705D">
            <w:pPr>
              <w:rPr>
                <w:rFonts w:ascii="Verdana" w:hAnsi="Verdana" w:cs="Arial"/>
                <w:iCs/>
                <w:color w:val="000000"/>
                <w:sz w:val="22"/>
                <w:szCs w:val="22"/>
              </w:rPr>
            </w:pPr>
          </w:p>
        </w:tc>
      </w:tr>
      <w:tr w:rsidR="00DF60FD" w:rsidRPr="006710DB" w14:paraId="1BE19456" w14:textId="77777777" w:rsidTr="0075705D">
        <w:trPr>
          <w:trHeight w:val="278"/>
        </w:trPr>
        <w:tc>
          <w:tcPr>
            <w:tcW w:w="10774" w:type="dxa"/>
            <w:gridSpan w:val="3"/>
            <w:tcBorders>
              <w:bottom w:val="single" w:sz="4" w:space="0" w:color="auto"/>
            </w:tcBorders>
            <w:shd w:val="clear" w:color="auto" w:fill="FFFFFF"/>
            <w:vAlign w:val="center"/>
          </w:tcPr>
          <w:p w14:paraId="76303D65" w14:textId="77777777" w:rsidR="00DF60FD" w:rsidRPr="006710DB" w:rsidRDefault="00795C6B" w:rsidP="0075705D">
            <w:pPr>
              <w:ind w:left="494" w:hanging="283"/>
              <w:rPr>
                <w:rFonts w:ascii="Verdana" w:hAnsi="Verdana" w:cs="Arial"/>
                <w:b/>
                <w:color w:val="000000"/>
                <w:sz w:val="22"/>
                <w:szCs w:val="22"/>
              </w:rPr>
            </w:pPr>
            <w:r w:rsidRPr="006710DB">
              <w:rPr>
                <w:rFonts w:ascii="Verdana" w:hAnsi="Verdana" w:cs="Arial"/>
                <w:b/>
                <w:color w:val="000000"/>
                <w:sz w:val="22"/>
                <w:szCs w:val="22"/>
              </w:rPr>
              <w:lastRenderedPageBreak/>
              <w:t xml:space="preserve">3. </w:t>
            </w:r>
            <w:r w:rsidR="00DF60FD" w:rsidRPr="006710DB">
              <w:rPr>
                <w:rFonts w:ascii="Verdana" w:hAnsi="Verdana" w:cs="Arial"/>
                <w:b/>
                <w:color w:val="000000"/>
                <w:sz w:val="22"/>
                <w:szCs w:val="22"/>
              </w:rPr>
              <w:t>VIABILIDAD JURÍDICA</w:t>
            </w:r>
          </w:p>
          <w:p w14:paraId="33B04CCB" w14:textId="77777777" w:rsidR="00D05B67" w:rsidRPr="006710DB" w:rsidRDefault="00D05B67" w:rsidP="0075705D">
            <w:pPr>
              <w:ind w:left="494" w:hanging="283"/>
              <w:rPr>
                <w:rFonts w:ascii="Verdana" w:hAnsi="Verdana" w:cs="Arial"/>
                <w:i/>
                <w:color w:val="808080"/>
                <w:sz w:val="22"/>
                <w:szCs w:val="22"/>
              </w:rPr>
            </w:pPr>
          </w:p>
          <w:p w14:paraId="0D7EE064" w14:textId="77777777" w:rsidR="008F771C" w:rsidRPr="006710DB" w:rsidRDefault="008F771C" w:rsidP="00C75983">
            <w:pPr>
              <w:ind w:left="217" w:hanging="6"/>
              <w:jc w:val="both"/>
              <w:rPr>
                <w:rFonts w:ascii="Verdana" w:hAnsi="Verdana" w:cs="Arial"/>
                <w:b/>
                <w:bCs/>
                <w:sz w:val="22"/>
                <w:szCs w:val="22"/>
                <w:lang w:val="es-CO" w:eastAsia="es-CO"/>
              </w:rPr>
            </w:pPr>
            <w:r w:rsidRPr="006710DB">
              <w:rPr>
                <w:rFonts w:ascii="Verdana" w:hAnsi="Verdana" w:cs="Arial"/>
                <w:b/>
                <w:bCs/>
                <w:sz w:val="22"/>
                <w:szCs w:val="22"/>
                <w:lang w:val="es-CO" w:eastAsia="es-CO"/>
              </w:rPr>
              <w:t>3.1. Análisis de las normas que otorgan competencia para la expedición del proyecto normativo</w:t>
            </w:r>
          </w:p>
          <w:p w14:paraId="57730B3B" w14:textId="77777777" w:rsidR="00C75983" w:rsidRPr="006710DB" w:rsidRDefault="00C75983" w:rsidP="00C75983">
            <w:pPr>
              <w:ind w:left="217" w:hanging="6"/>
              <w:jc w:val="both"/>
              <w:rPr>
                <w:rFonts w:ascii="Verdana" w:hAnsi="Verdana" w:cs="Arial"/>
                <w:sz w:val="22"/>
                <w:szCs w:val="22"/>
                <w:lang w:val="es-CO" w:eastAsia="es-CO"/>
              </w:rPr>
            </w:pPr>
          </w:p>
          <w:p w14:paraId="55605E41" w14:textId="73DAD9A9" w:rsidR="008F771C"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El numeral 3 del artículo 326 del Estatuto Orgánico del Sistema Financiero faculta a la Superintendencia Financiera de Colombia para impartir instrucciones generales a las entidades sometidas a su inspección y vigilancia, con el fin de asegurar el cumplimiento de las normas que regulan su actividad</w:t>
            </w:r>
            <w:r w:rsidR="00CF31AB">
              <w:rPr>
                <w:rFonts w:ascii="Verdana" w:hAnsi="Verdana" w:cs="Arial"/>
                <w:sz w:val="22"/>
                <w:szCs w:val="22"/>
                <w:lang w:val="es-CO" w:eastAsia="es-CO"/>
              </w:rPr>
              <w:t xml:space="preserve">, </w:t>
            </w:r>
            <w:r w:rsidR="00CF31AB">
              <w:rPr>
                <w:rFonts w:ascii="Verdana" w:hAnsi="Verdana" w:cs="Arial"/>
                <w:bCs/>
                <w:color w:val="000000"/>
                <w:sz w:val="22"/>
                <w:szCs w:val="22"/>
                <w:lang w:val="es-CO"/>
              </w:rPr>
              <w:t>así como de establecer reglas sobre la administración de los riesgos asociados a las actividades de las entidades</w:t>
            </w:r>
            <w:r w:rsidRPr="006710DB">
              <w:rPr>
                <w:rFonts w:ascii="Verdana" w:hAnsi="Verdana" w:cs="Arial"/>
                <w:sz w:val="22"/>
                <w:szCs w:val="22"/>
                <w:lang w:val="es-CO" w:eastAsia="es-CO"/>
              </w:rPr>
              <w:t>.</w:t>
            </w:r>
          </w:p>
          <w:p w14:paraId="6D0CC671" w14:textId="77777777" w:rsidR="00C75983" w:rsidRPr="006710DB" w:rsidRDefault="00C75983" w:rsidP="00C75983">
            <w:pPr>
              <w:ind w:left="217" w:hanging="6"/>
              <w:jc w:val="both"/>
              <w:rPr>
                <w:rFonts w:ascii="Verdana" w:hAnsi="Verdana" w:cs="Arial"/>
                <w:sz w:val="22"/>
                <w:szCs w:val="22"/>
                <w:lang w:val="es-CO" w:eastAsia="es-CO"/>
              </w:rPr>
            </w:pPr>
          </w:p>
          <w:p w14:paraId="0DD6E6F1" w14:textId="7CD06D2F" w:rsidR="008F771C" w:rsidRPr="006710DB" w:rsidRDefault="00DA201A" w:rsidP="00C75983">
            <w:pPr>
              <w:ind w:left="217" w:hanging="6"/>
              <w:jc w:val="both"/>
              <w:rPr>
                <w:rFonts w:ascii="Verdana" w:hAnsi="Verdana" w:cs="Arial"/>
                <w:sz w:val="22"/>
                <w:szCs w:val="22"/>
                <w:lang w:val="es-CO" w:eastAsia="es-CO"/>
              </w:rPr>
            </w:pPr>
            <w:r w:rsidRPr="00DA201A">
              <w:rPr>
                <w:rFonts w:ascii="Verdana" w:hAnsi="Verdana" w:cs="Arial"/>
                <w:sz w:val="22"/>
                <w:szCs w:val="22"/>
                <w:lang w:eastAsia="es-CO"/>
              </w:rPr>
              <w:t xml:space="preserve">Por su parte, los numerales 4 y 5 del artículo 11.2.1.4.2 del Decreto 2555 de 2010 atribuyen a la Superintendencia Financiera de Colombia la función de instruir a las entidades vigiladas sobre la manera como deben cumplirse las disposiciones que regulan su actividad, fijar los criterios técnicos y jurídicos que faciliten su cumplimiento y señalar los procedimientos para su adecuada aplicación, así como instruirlas sobre la manera como deben administrar los riesgos implícitos en sus actividades. </w:t>
            </w:r>
            <w:r w:rsidR="008F771C" w:rsidRPr="006710DB">
              <w:rPr>
                <w:rFonts w:ascii="Verdana" w:hAnsi="Verdana" w:cs="Arial"/>
                <w:sz w:val="22"/>
                <w:szCs w:val="22"/>
                <w:lang w:val="es-CO" w:eastAsia="es-CO"/>
              </w:rPr>
              <w:t>Adicionalmente, la Ley 1328 de 2009 establece el régimen de protección al consumidor financiero y consagra obligaciones aplicables a las entidades vigiladas en sus relaciones con los consumidores financieros, particularmente en materia de debida diligencia, transparencia e información cierta, suficiente y oportuna, así como de atención adecuada de sus quejas, peticiones y reclamos.</w:t>
            </w:r>
          </w:p>
          <w:p w14:paraId="08666E77" w14:textId="77777777" w:rsidR="00C75983" w:rsidRPr="006710DB" w:rsidRDefault="00C75983" w:rsidP="00C75983">
            <w:pPr>
              <w:ind w:left="217" w:hanging="6"/>
              <w:jc w:val="both"/>
              <w:rPr>
                <w:rFonts w:ascii="Verdana" w:hAnsi="Verdana" w:cs="Arial"/>
                <w:sz w:val="22"/>
                <w:szCs w:val="22"/>
                <w:lang w:val="es-CO" w:eastAsia="es-CO"/>
              </w:rPr>
            </w:pPr>
          </w:p>
          <w:p w14:paraId="5CA88692" w14:textId="77777777" w:rsidR="00C75983"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Así mismo, la Ley 964 de 2005 contiene disposiciones relacionadas con la protección de los inversionistas, la transparencia, la integridad y el adecuado funcionamiento del mercado de valores, aspectos que guardan relación directa con la gestión del riesgo de conductas cuando este se manifiesta en actuaciones que pueden afectar la confianza o integridad del mercado.</w:t>
            </w:r>
          </w:p>
          <w:p w14:paraId="483F89D9" w14:textId="77777777" w:rsidR="00C75983" w:rsidRPr="006710DB" w:rsidRDefault="00C75983" w:rsidP="00C75983">
            <w:pPr>
              <w:ind w:left="217" w:hanging="6"/>
              <w:jc w:val="both"/>
              <w:rPr>
                <w:rFonts w:ascii="Verdana" w:hAnsi="Verdana" w:cs="Arial"/>
                <w:sz w:val="22"/>
                <w:szCs w:val="22"/>
                <w:lang w:val="es-CO" w:eastAsia="es-CO"/>
              </w:rPr>
            </w:pPr>
          </w:p>
          <w:p w14:paraId="48981882" w14:textId="77777777" w:rsidR="008F771C"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Con base en lo anterior, la Superintendencia Financiera de Colombia se encuentra habilitada para impartir instrucciones generales sobre la gestión del riesgo de conductas, en la medida en que estas desarrollan las normas que regulan la actividad de las entidades vigiladas y se orientan a fortalecer la protección de los consumidores financieros, la transparencia y la integridad de los mercados.</w:t>
            </w:r>
          </w:p>
          <w:p w14:paraId="0DF1026E" w14:textId="77777777" w:rsidR="00C75983" w:rsidRPr="006710DB" w:rsidRDefault="00C75983" w:rsidP="00C75983">
            <w:pPr>
              <w:ind w:left="217" w:hanging="6"/>
              <w:jc w:val="both"/>
              <w:rPr>
                <w:rFonts w:ascii="Verdana" w:hAnsi="Verdana" w:cs="Arial"/>
                <w:sz w:val="22"/>
                <w:szCs w:val="22"/>
                <w:lang w:val="es-CO" w:eastAsia="es-CO"/>
              </w:rPr>
            </w:pPr>
          </w:p>
          <w:p w14:paraId="71F6E936" w14:textId="77777777" w:rsidR="008F771C" w:rsidRPr="006710DB" w:rsidRDefault="008F771C" w:rsidP="00C75983">
            <w:pPr>
              <w:ind w:left="217" w:hanging="6"/>
              <w:jc w:val="both"/>
              <w:rPr>
                <w:rFonts w:ascii="Verdana" w:hAnsi="Verdana" w:cs="Arial"/>
                <w:b/>
                <w:bCs/>
                <w:sz w:val="22"/>
                <w:szCs w:val="22"/>
                <w:lang w:val="es-CO" w:eastAsia="es-CO"/>
              </w:rPr>
            </w:pPr>
            <w:r w:rsidRPr="006710DB">
              <w:rPr>
                <w:rFonts w:ascii="Verdana" w:hAnsi="Verdana" w:cs="Arial"/>
                <w:b/>
                <w:bCs/>
                <w:sz w:val="22"/>
                <w:szCs w:val="22"/>
                <w:lang w:val="es-CO" w:eastAsia="es-CO"/>
              </w:rPr>
              <w:t>3.2. Vigencia de la ley o norma reglamentada o desarrollada</w:t>
            </w:r>
          </w:p>
          <w:p w14:paraId="285D9FC0" w14:textId="77777777" w:rsidR="00C75983" w:rsidRPr="006710DB" w:rsidRDefault="00C75983" w:rsidP="00C75983">
            <w:pPr>
              <w:ind w:left="217" w:hanging="6"/>
              <w:jc w:val="both"/>
              <w:rPr>
                <w:rFonts w:ascii="Verdana" w:hAnsi="Verdana" w:cs="Arial"/>
                <w:sz w:val="22"/>
                <w:szCs w:val="22"/>
                <w:lang w:val="es-CO" w:eastAsia="es-CO"/>
              </w:rPr>
            </w:pPr>
          </w:p>
          <w:p w14:paraId="2AC64837" w14:textId="77777777" w:rsidR="008F771C"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El proyecto normativo desarrolla y complementa disposiciones actualmente vigentes, en especial aquellas contenidas en el Estatuto Orgánico del Sistema Financiero, la Ley 1328 de 2009, la Ley 964 de 2005 y el Decreto 2555 de 2010.</w:t>
            </w:r>
          </w:p>
          <w:p w14:paraId="13CD3A0E" w14:textId="77777777" w:rsidR="00C75983" w:rsidRPr="006710DB" w:rsidRDefault="00C75983" w:rsidP="00C75983">
            <w:pPr>
              <w:ind w:left="217" w:hanging="6"/>
              <w:jc w:val="both"/>
              <w:rPr>
                <w:rFonts w:ascii="Verdana" w:hAnsi="Verdana" w:cs="Arial"/>
                <w:sz w:val="22"/>
                <w:szCs w:val="22"/>
                <w:lang w:val="es-CO" w:eastAsia="es-CO"/>
              </w:rPr>
            </w:pPr>
          </w:p>
          <w:p w14:paraId="4338D6EB" w14:textId="77777777" w:rsidR="008F771C"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lastRenderedPageBreak/>
              <w:t>La propuesta también se articula con las instrucciones vigentes sobre el Sistema de Atención al Consumidor Financiero – SAC, contenidas en la Circular Básica Jurídica, en cuanto dicho sistema constituye uno de los mecanismos relevantes para la protección del consumidor financiero. Sin embargo, el GERCO no se limita al SAC ni lo reemplaza, pues su alcance comprende la gestión preventiva de conductas que puedan afectar a los consumidores financieros o la transparencia e integridad de los mercados.</w:t>
            </w:r>
          </w:p>
          <w:p w14:paraId="7699D92C" w14:textId="77777777" w:rsidR="00C75983" w:rsidRPr="006710DB" w:rsidRDefault="00C75983" w:rsidP="00C75983">
            <w:pPr>
              <w:ind w:left="217" w:hanging="6"/>
              <w:jc w:val="both"/>
              <w:rPr>
                <w:rFonts w:ascii="Verdana" w:hAnsi="Verdana" w:cs="Arial"/>
                <w:sz w:val="22"/>
                <w:szCs w:val="22"/>
                <w:lang w:val="es-CO" w:eastAsia="es-CO"/>
              </w:rPr>
            </w:pPr>
          </w:p>
          <w:p w14:paraId="072D6B18" w14:textId="77777777" w:rsidR="008F771C" w:rsidRPr="006710D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En consecuencia, el proyecto no desarrolla normas derogadas ni disposiciones cuya vigencia haya expirado. Por el contrario, complementa el marco jurídico vigente mediante instrucciones específicas sobre la gestión del riesgo de conductas.</w:t>
            </w:r>
          </w:p>
          <w:p w14:paraId="74721FCD" w14:textId="77777777" w:rsidR="00C75983" w:rsidRPr="006710DB" w:rsidRDefault="00C75983" w:rsidP="00C75983">
            <w:pPr>
              <w:ind w:left="217" w:hanging="6"/>
              <w:jc w:val="both"/>
              <w:rPr>
                <w:rFonts w:ascii="Verdana" w:hAnsi="Verdana" w:cs="Arial"/>
                <w:sz w:val="22"/>
                <w:szCs w:val="22"/>
                <w:lang w:val="es-CO" w:eastAsia="es-CO"/>
              </w:rPr>
            </w:pPr>
          </w:p>
          <w:p w14:paraId="593B027E" w14:textId="77777777" w:rsidR="008F771C" w:rsidRPr="006710DB" w:rsidRDefault="008F771C" w:rsidP="00C75983">
            <w:pPr>
              <w:ind w:left="217" w:hanging="6"/>
              <w:jc w:val="both"/>
              <w:rPr>
                <w:rFonts w:ascii="Verdana" w:hAnsi="Verdana" w:cs="Arial"/>
                <w:b/>
                <w:bCs/>
                <w:sz w:val="22"/>
                <w:szCs w:val="22"/>
                <w:lang w:val="es-CO" w:eastAsia="es-CO"/>
              </w:rPr>
            </w:pPr>
            <w:r w:rsidRPr="006710DB">
              <w:rPr>
                <w:rFonts w:ascii="Verdana" w:hAnsi="Verdana" w:cs="Arial"/>
                <w:b/>
                <w:bCs/>
                <w:sz w:val="22"/>
                <w:szCs w:val="22"/>
                <w:lang w:val="es-CO" w:eastAsia="es-CO"/>
              </w:rPr>
              <w:t>3.3. Disposiciones derogadas, subrogadas, modificadas, adicionadas o sustituidas</w:t>
            </w:r>
          </w:p>
          <w:p w14:paraId="47DB81E7" w14:textId="77777777" w:rsidR="00C75983" w:rsidRPr="006710DB" w:rsidRDefault="00C75983" w:rsidP="00C75983">
            <w:pPr>
              <w:ind w:left="217" w:hanging="6"/>
              <w:jc w:val="both"/>
              <w:rPr>
                <w:rFonts w:ascii="Verdana" w:hAnsi="Verdana" w:cs="Arial"/>
                <w:sz w:val="22"/>
                <w:szCs w:val="22"/>
                <w:lang w:val="es-CO" w:eastAsia="es-CO"/>
              </w:rPr>
            </w:pPr>
          </w:p>
          <w:p w14:paraId="771CCA58" w14:textId="1B78FB5A" w:rsidR="00C4357B" w:rsidRDefault="008F771C" w:rsidP="00C75983">
            <w:pPr>
              <w:ind w:left="217" w:hanging="6"/>
              <w:jc w:val="both"/>
              <w:rPr>
                <w:rFonts w:ascii="Verdana" w:hAnsi="Verdana" w:cs="Arial"/>
                <w:sz w:val="22"/>
                <w:szCs w:val="22"/>
                <w:lang w:val="es-CO" w:eastAsia="es-CO"/>
              </w:rPr>
            </w:pPr>
            <w:r w:rsidRPr="006710DB">
              <w:rPr>
                <w:rFonts w:ascii="Verdana" w:hAnsi="Verdana" w:cs="Arial"/>
                <w:sz w:val="22"/>
                <w:szCs w:val="22"/>
                <w:lang w:val="es-CO" w:eastAsia="es-CO"/>
              </w:rPr>
              <w:t xml:space="preserve">El proyecto normativo crea </w:t>
            </w:r>
            <w:r w:rsidR="00C4357B">
              <w:rPr>
                <w:rFonts w:ascii="Verdana" w:hAnsi="Verdana" w:cs="Arial"/>
                <w:sz w:val="22"/>
                <w:szCs w:val="22"/>
                <w:lang w:val="es-CO" w:eastAsia="es-CO"/>
              </w:rPr>
              <w:t>el capítulo 5 de</w:t>
            </w:r>
            <w:r w:rsidRPr="006710DB">
              <w:rPr>
                <w:rFonts w:ascii="Verdana" w:hAnsi="Verdana" w:cs="Arial"/>
                <w:sz w:val="22"/>
                <w:szCs w:val="22"/>
                <w:lang w:val="es-CO" w:eastAsia="es-CO"/>
              </w:rPr>
              <w:t xml:space="preserve"> la Parte 1 – Administración de riesgos</w:t>
            </w:r>
            <w:r w:rsidR="00C4357B">
              <w:rPr>
                <w:rFonts w:ascii="Verdana" w:hAnsi="Verdana" w:cs="Arial"/>
                <w:sz w:val="22"/>
                <w:szCs w:val="22"/>
                <w:lang w:val="es-CO" w:eastAsia="es-CO"/>
              </w:rPr>
              <w:t>,</w:t>
            </w:r>
            <w:r w:rsidRPr="006710DB">
              <w:rPr>
                <w:rFonts w:ascii="Verdana" w:hAnsi="Verdana" w:cs="Arial"/>
                <w:sz w:val="22"/>
                <w:szCs w:val="22"/>
                <w:lang w:val="es-CO" w:eastAsia="es-CO"/>
              </w:rPr>
              <w:t xml:space="preserve"> de la Circular Básica Financiera.</w:t>
            </w:r>
          </w:p>
          <w:p w14:paraId="7C61C4A5" w14:textId="1C1ADA4B" w:rsidR="00C4357B" w:rsidRPr="006710DB" w:rsidRDefault="00C4357B" w:rsidP="00C75983">
            <w:pPr>
              <w:ind w:left="217" w:hanging="6"/>
              <w:jc w:val="both"/>
              <w:rPr>
                <w:rFonts w:ascii="Verdana" w:hAnsi="Verdana" w:cs="Arial"/>
                <w:sz w:val="22"/>
                <w:szCs w:val="22"/>
                <w:lang w:val="es-CO" w:eastAsia="es-CO"/>
              </w:rPr>
            </w:pPr>
          </w:p>
          <w:p w14:paraId="0FFB7764" w14:textId="5266A94E" w:rsidR="008F771C" w:rsidRPr="006710DB" w:rsidRDefault="00C4357B" w:rsidP="00C4357B">
            <w:pPr>
              <w:ind w:left="217" w:hanging="6"/>
              <w:jc w:val="both"/>
              <w:rPr>
                <w:rFonts w:ascii="Verdana" w:hAnsi="Verdana" w:cs="Arial"/>
                <w:sz w:val="22"/>
                <w:szCs w:val="22"/>
                <w:lang w:val="es-CO" w:eastAsia="es-CO"/>
              </w:rPr>
            </w:pPr>
            <w:r>
              <w:rPr>
                <w:rFonts w:ascii="Verdana" w:hAnsi="Verdana" w:cs="Arial"/>
                <w:sz w:val="22"/>
                <w:szCs w:val="22"/>
                <w:lang w:val="es-CO" w:eastAsia="es-CO"/>
              </w:rPr>
              <w:t>Por lo demás, el proyecto no deroga, subroga, modifica, adiciona ni sustituye disposiciones vigentes sobre el mismo asunto.</w:t>
            </w:r>
          </w:p>
          <w:p w14:paraId="3D200002" w14:textId="77777777" w:rsidR="00C75983" w:rsidRPr="006710DB" w:rsidRDefault="00C75983" w:rsidP="00C75983">
            <w:pPr>
              <w:ind w:left="217" w:hanging="6"/>
              <w:jc w:val="both"/>
              <w:rPr>
                <w:rFonts w:ascii="Verdana" w:hAnsi="Verdana" w:cs="Arial"/>
                <w:sz w:val="22"/>
                <w:szCs w:val="22"/>
                <w:lang w:val="es-CO" w:eastAsia="es-CO"/>
              </w:rPr>
            </w:pPr>
          </w:p>
          <w:p w14:paraId="0FAD2DE9" w14:textId="77777777" w:rsidR="008F771C" w:rsidRPr="006710DB" w:rsidRDefault="008F771C" w:rsidP="00C75983">
            <w:pPr>
              <w:ind w:left="217" w:hanging="6"/>
              <w:jc w:val="both"/>
              <w:rPr>
                <w:rFonts w:ascii="Verdana" w:hAnsi="Verdana" w:cs="Arial"/>
                <w:b/>
                <w:bCs/>
                <w:sz w:val="22"/>
                <w:szCs w:val="22"/>
                <w:lang w:val="es-CO" w:eastAsia="es-CO"/>
              </w:rPr>
            </w:pPr>
            <w:r w:rsidRPr="006710DB">
              <w:rPr>
                <w:rFonts w:ascii="Verdana" w:hAnsi="Verdana" w:cs="Arial"/>
                <w:b/>
                <w:bCs/>
                <w:sz w:val="22"/>
                <w:szCs w:val="22"/>
                <w:lang w:val="es-CO" w:eastAsia="es-CO"/>
              </w:rPr>
              <w:t>3.4. Revisión y análisis de la jurisprudencia que tenga impacto o sea relevante para la expedición del proyecto normativo</w:t>
            </w:r>
          </w:p>
          <w:p w14:paraId="01C70DAE" w14:textId="77777777" w:rsidR="00C75983" w:rsidRPr="006710DB" w:rsidRDefault="00C75983" w:rsidP="00C75983">
            <w:pPr>
              <w:ind w:left="217" w:hanging="6"/>
              <w:jc w:val="both"/>
              <w:rPr>
                <w:rFonts w:ascii="Verdana" w:hAnsi="Verdana" w:cs="Arial"/>
                <w:sz w:val="22"/>
                <w:szCs w:val="22"/>
                <w:lang w:val="es-CO" w:eastAsia="es-CO"/>
              </w:rPr>
            </w:pPr>
          </w:p>
          <w:p w14:paraId="4A5578EE" w14:textId="77777777" w:rsidR="00FD6F96" w:rsidRDefault="00FD6F96" w:rsidP="00C75983">
            <w:pPr>
              <w:ind w:left="217" w:hanging="6"/>
              <w:jc w:val="both"/>
              <w:rPr>
                <w:rFonts w:ascii="Verdana" w:hAnsi="Verdana" w:cs="Arial"/>
                <w:sz w:val="22"/>
                <w:szCs w:val="22"/>
                <w:lang w:val="es-CO" w:eastAsia="es-CO"/>
              </w:rPr>
            </w:pPr>
          </w:p>
          <w:p w14:paraId="30D51F47" w14:textId="77777777" w:rsidR="00FD6F96" w:rsidRDefault="00FD6F96" w:rsidP="00FD6F96">
            <w:pPr>
              <w:ind w:left="217" w:hanging="6"/>
              <w:jc w:val="both"/>
              <w:rPr>
                <w:rFonts w:ascii="Verdana" w:hAnsi="Verdana" w:cs="Arial"/>
                <w:sz w:val="22"/>
                <w:szCs w:val="22"/>
                <w:lang w:val="es-CO" w:eastAsia="es-CO"/>
              </w:rPr>
            </w:pPr>
            <w:r w:rsidRPr="00FD6F96">
              <w:rPr>
                <w:rFonts w:ascii="Verdana" w:hAnsi="Verdana" w:cs="Arial"/>
                <w:sz w:val="22"/>
                <w:szCs w:val="22"/>
                <w:lang w:val="es-CO" w:eastAsia="es-CO"/>
              </w:rPr>
              <w:t xml:space="preserve">Para la elaboración del proyecto se tuvieron en cuenta las Sentencias C-860 de 2006 y C-909 de 2012 de la Corte Constitucional. En estas providencias la Corte reconoció que la Superintendencia Financiera de Colombia, en ejercicio de las competencias atribuidas por la ley, puede expedir actos administrativos de carácter general e impartir instrucciones a las entidades vigiladas para precisar aspectos técnicos y jurídicos relacionados con el cumplimiento de las disposiciones que regulan su actividad. Asimismo, destacó que las particularidades y la dinámica propia de la actividad financiera justifican la intervención de las autoridades de supervisión dentro del marco fijado por el legislador. </w:t>
            </w:r>
          </w:p>
          <w:p w14:paraId="30D63D77" w14:textId="77777777" w:rsidR="00B258A0" w:rsidRPr="00FD6F96" w:rsidRDefault="00B258A0" w:rsidP="00FD6F96">
            <w:pPr>
              <w:ind w:left="217" w:hanging="6"/>
              <w:jc w:val="both"/>
              <w:rPr>
                <w:rFonts w:ascii="Verdana" w:hAnsi="Verdana" w:cs="Arial"/>
                <w:sz w:val="22"/>
                <w:szCs w:val="22"/>
                <w:lang w:val="es-CO" w:eastAsia="es-CO"/>
              </w:rPr>
            </w:pPr>
          </w:p>
          <w:p w14:paraId="7B1DB4A4" w14:textId="77777777" w:rsidR="00FD6F96" w:rsidRDefault="00FD6F96" w:rsidP="00FD6F96">
            <w:pPr>
              <w:ind w:left="217" w:hanging="6"/>
              <w:jc w:val="both"/>
              <w:rPr>
                <w:rFonts w:ascii="Verdana" w:hAnsi="Verdana" w:cs="Arial"/>
                <w:sz w:val="22"/>
                <w:szCs w:val="22"/>
                <w:lang w:val="es-CO" w:eastAsia="es-CO"/>
              </w:rPr>
            </w:pPr>
            <w:r w:rsidRPr="00FD6F96">
              <w:rPr>
                <w:rFonts w:ascii="Verdana" w:hAnsi="Verdana" w:cs="Arial"/>
                <w:sz w:val="22"/>
                <w:szCs w:val="22"/>
                <w:lang w:val="es-CO" w:eastAsia="es-CO"/>
              </w:rPr>
              <w:t xml:space="preserve">Igualmente, se consideraron las Sentencias C-1062 de 2003 y C-224 de 2009, en las cuales la Corte Constitucional destacó el carácter de interés público de la actividad financiera y señaló que en ella se encuentra comprometida la relación ahorro-inversión, que cumple un papel fundamental en el desarrollo económico. </w:t>
            </w:r>
            <w:proofErr w:type="gramStart"/>
            <w:r w:rsidRPr="00FD6F96">
              <w:rPr>
                <w:rFonts w:ascii="Verdana" w:hAnsi="Verdana" w:cs="Arial"/>
                <w:sz w:val="22"/>
                <w:szCs w:val="22"/>
                <w:lang w:val="es-CO" w:eastAsia="es-CO"/>
              </w:rPr>
              <w:t>En razón de</w:t>
            </w:r>
            <w:proofErr w:type="gramEnd"/>
            <w:r w:rsidRPr="00FD6F96">
              <w:rPr>
                <w:rFonts w:ascii="Verdana" w:hAnsi="Verdana" w:cs="Arial"/>
                <w:sz w:val="22"/>
                <w:szCs w:val="22"/>
                <w:lang w:val="es-CO" w:eastAsia="es-CO"/>
              </w:rPr>
              <w:t xml:space="preserve"> dicha naturaleza, la captación, administración e inversión de recursos del público se encuentran sometidas a una especial intervención, regulación, vigilancia y control del Estado, de conformidad con los artículos 334 y 335 de la Constitución Política. </w:t>
            </w:r>
          </w:p>
          <w:p w14:paraId="22616697" w14:textId="77777777" w:rsidR="00B258A0" w:rsidRPr="00FD6F96" w:rsidRDefault="00B258A0" w:rsidP="00FD6F96">
            <w:pPr>
              <w:ind w:left="217" w:hanging="6"/>
              <w:jc w:val="both"/>
              <w:rPr>
                <w:rFonts w:ascii="Verdana" w:hAnsi="Verdana" w:cs="Arial"/>
                <w:sz w:val="22"/>
                <w:szCs w:val="22"/>
                <w:lang w:val="es-CO" w:eastAsia="es-CO"/>
              </w:rPr>
            </w:pPr>
          </w:p>
          <w:p w14:paraId="3DA7ED37" w14:textId="77777777" w:rsidR="00FD6F96" w:rsidRPr="00FD6F96" w:rsidRDefault="00FD6F96" w:rsidP="00FD6F96">
            <w:pPr>
              <w:ind w:left="217" w:hanging="6"/>
              <w:jc w:val="both"/>
              <w:rPr>
                <w:rFonts w:ascii="Verdana" w:hAnsi="Verdana" w:cs="Arial"/>
                <w:sz w:val="22"/>
                <w:szCs w:val="22"/>
                <w:lang w:val="es-CO" w:eastAsia="es-CO"/>
              </w:rPr>
            </w:pPr>
            <w:r w:rsidRPr="00FD6F96">
              <w:rPr>
                <w:rFonts w:ascii="Verdana" w:hAnsi="Verdana" w:cs="Arial"/>
                <w:sz w:val="22"/>
                <w:szCs w:val="22"/>
                <w:lang w:val="es-CO" w:eastAsia="es-CO"/>
              </w:rPr>
              <w:t>Estos criterios resultan relevantes para el presente proyecto, en la medida en que el GERCO desarrolla, dentro del ámbito de las competencias legales de instrucción y supervisión de la Superintendencia Financiera de Colombia, lineamientos para la gestión preventiva del riesgo de conductas asociado a las actividades de las entidades vigiladas y a la protección de los consumidores financieros y de la transparencia e integridad de los mercados.</w:t>
            </w:r>
          </w:p>
          <w:p w14:paraId="50C3C3FB" w14:textId="77777777" w:rsidR="00FD6F96" w:rsidRPr="006710DB" w:rsidRDefault="00FD6F96" w:rsidP="00C75983">
            <w:pPr>
              <w:ind w:left="217" w:hanging="6"/>
              <w:jc w:val="both"/>
              <w:rPr>
                <w:rFonts w:ascii="Verdana" w:hAnsi="Verdana" w:cs="Arial"/>
                <w:sz w:val="22"/>
                <w:szCs w:val="22"/>
                <w:lang w:val="es-CO" w:eastAsia="es-CO"/>
              </w:rPr>
            </w:pPr>
          </w:p>
          <w:p w14:paraId="440F7704" w14:textId="77777777" w:rsidR="00C75983" w:rsidRPr="006710DB" w:rsidRDefault="00C75983" w:rsidP="008F771C">
            <w:pPr>
              <w:ind w:left="494" w:hanging="283"/>
              <w:jc w:val="both"/>
              <w:rPr>
                <w:rFonts w:ascii="Verdana" w:hAnsi="Verdana" w:cs="Arial"/>
                <w:b/>
                <w:bCs/>
                <w:sz w:val="22"/>
                <w:szCs w:val="22"/>
                <w:lang w:val="es-CO" w:eastAsia="es-CO"/>
              </w:rPr>
            </w:pPr>
          </w:p>
          <w:p w14:paraId="20559C16" w14:textId="77777777" w:rsidR="008F771C" w:rsidRPr="006710DB" w:rsidRDefault="008F771C" w:rsidP="008F771C">
            <w:pPr>
              <w:ind w:left="494" w:hanging="283"/>
              <w:jc w:val="both"/>
              <w:rPr>
                <w:rFonts w:ascii="Verdana" w:hAnsi="Verdana" w:cs="Arial"/>
                <w:b/>
                <w:bCs/>
                <w:sz w:val="22"/>
                <w:szCs w:val="22"/>
                <w:lang w:val="es-CO" w:eastAsia="es-CO"/>
              </w:rPr>
            </w:pPr>
            <w:r w:rsidRPr="006710DB">
              <w:rPr>
                <w:rFonts w:ascii="Verdana" w:hAnsi="Verdana" w:cs="Arial"/>
                <w:b/>
                <w:bCs/>
                <w:sz w:val="22"/>
                <w:szCs w:val="22"/>
                <w:lang w:val="es-CO" w:eastAsia="es-CO"/>
              </w:rPr>
              <w:lastRenderedPageBreak/>
              <w:t>3.5. Circunstancias jurídicas adicionales</w:t>
            </w:r>
          </w:p>
          <w:p w14:paraId="0F51C459" w14:textId="77777777" w:rsidR="008F771C" w:rsidRPr="006710DB" w:rsidRDefault="008F771C" w:rsidP="008F771C">
            <w:pPr>
              <w:ind w:left="494" w:hanging="283"/>
              <w:jc w:val="both"/>
              <w:rPr>
                <w:rFonts w:ascii="Verdana" w:hAnsi="Verdana" w:cs="Arial"/>
                <w:sz w:val="22"/>
                <w:szCs w:val="22"/>
                <w:lang w:val="es-CO" w:eastAsia="es-CO"/>
              </w:rPr>
            </w:pPr>
          </w:p>
          <w:p w14:paraId="4EE64154" w14:textId="77777777" w:rsidR="008F771C" w:rsidRPr="006710DB" w:rsidRDefault="008F771C" w:rsidP="00C75983">
            <w:pPr>
              <w:ind w:left="75" w:firstLine="1"/>
              <w:jc w:val="both"/>
              <w:rPr>
                <w:rFonts w:ascii="Verdana" w:hAnsi="Verdana" w:cs="Arial"/>
                <w:sz w:val="22"/>
                <w:szCs w:val="22"/>
                <w:lang w:val="es-CO" w:eastAsia="es-CO"/>
              </w:rPr>
            </w:pPr>
            <w:r w:rsidRPr="006710DB">
              <w:rPr>
                <w:rFonts w:ascii="Verdana" w:hAnsi="Verdana" w:cs="Arial"/>
                <w:sz w:val="22"/>
                <w:szCs w:val="22"/>
                <w:lang w:val="es-CO" w:eastAsia="es-CO"/>
              </w:rPr>
              <w:t>La expedición de la Circular Externa responde a la necesidad de contar con un marco regulatorio claro sobre la gestión del riesgo de conductas, teniendo en cuenta que los documentos técnicos y herramientas de supervisión existentes han tenido una función orientadora y metodológica, pero no constituyen por sí mismos una regulación general incorporada en la Circular Básica Financiera.</w:t>
            </w:r>
          </w:p>
          <w:p w14:paraId="726519CA" w14:textId="77777777" w:rsidR="008F771C" w:rsidRPr="006710DB" w:rsidRDefault="008F771C" w:rsidP="00C75983">
            <w:pPr>
              <w:ind w:left="75" w:firstLine="1"/>
              <w:jc w:val="both"/>
              <w:rPr>
                <w:rFonts w:ascii="Verdana" w:hAnsi="Verdana" w:cs="Arial"/>
                <w:sz w:val="22"/>
                <w:szCs w:val="22"/>
                <w:lang w:val="es-CO" w:eastAsia="es-CO"/>
              </w:rPr>
            </w:pPr>
          </w:p>
          <w:p w14:paraId="2B9B5844" w14:textId="77777777" w:rsidR="008F771C" w:rsidRPr="006710DB" w:rsidRDefault="008F771C" w:rsidP="00C75983">
            <w:pPr>
              <w:ind w:left="75" w:firstLine="1"/>
              <w:jc w:val="both"/>
              <w:rPr>
                <w:rFonts w:ascii="Verdana" w:hAnsi="Verdana" w:cs="Arial"/>
                <w:sz w:val="22"/>
                <w:szCs w:val="22"/>
                <w:lang w:val="es-CO" w:eastAsia="es-CO"/>
              </w:rPr>
            </w:pPr>
            <w:r w:rsidRPr="006710DB">
              <w:rPr>
                <w:rFonts w:ascii="Verdana" w:hAnsi="Verdana" w:cs="Arial"/>
                <w:sz w:val="22"/>
                <w:szCs w:val="22"/>
                <w:lang w:val="es-CO" w:eastAsia="es-CO"/>
              </w:rPr>
              <w:t>La incorporación del GERCO en la Circular Básica Financiera permitirá que las entidades vigiladas cuenten con instrucciones expresas sobre los elementos mínimos de gestión de este riesgo y sobre su articulación con los sistemas de administración de riesgos, el sistema de control interno, el gobierno corporativo y los demás procesos internos pertinentes.</w:t>
            </w:r>
          </w:p>
          <w:p w14:paraId="0195E22D" w14:textId="77777777" w:rsidR="008F771C" w:rsidRPr="006710DB" w:rsidRDefault="008F771C" w:rsidP="00C75983">
            <w:pPr>
              <w:ind w:left="75" w:firstLine="1"/>
              <w:jc w:val="both"/>
              <w:rPr>
                <w:rFonts w:ascii="Verdana" w:hAnsi="Verdana" w:cs="Arial"/>
                <w:sz w:val="22"/>
                <w:szCs w:val="22"/>
                <w:lang w:val="es-CO" w:eastAsia="es-CO"/>
              </w:rPr>
            </w:pPr>
          </w:p>
          <w:p w14:paraId="6E129809" w14:textId="77777777" w:rsidR="008F771C" w:rsidRDefault="008F771C" w:rsidP="00C75983">
            <w:pPr>
              <w:ind w:left="75" w:firstLine="1"/>
              <w:jc w:val="both"/>
              <w:rPr>
                <w:rFonts w:ascii="Verdana" w:hAnsi="Verdana" w:cs="Arial"/>
                <w:sz w:val="22"/>
                <w:szCs w:val="22"/>
                <w:lang w:val="es-CO" w:eastAsia="es-CO"/>
              </w:rPr>
            </w:pPr>
            <w:r w:rsidRPr="006710DB">
              <w:rPr>
                <w:rFonts w:ascii="Verdana" w:hAnsi="Verdana" w:cs="Arial"/>
                <w:sz w:val="22"/>
                <w:szCs w:val="22"/>
                <w:lang w:val="es-CO" w:eastAsia="es-CO"/>
              </w:rPr>
              <w:t>Lo anterior resulta relevante para evitar interpretaciones disímiles, promover una implementación proporcional y fortalecer la gestión preventiva de conductas que puedan afectar los derechos de los consumidores financieros, la transparencia, la integridad de los mercados o la confianza pública.</w:t>
            </w:r>
          </w:p>
          <w:p w14:paraId="6E0D355F" w14:textId="77777777" w:rsidR="00E0131F" w:rsidRDefault="00E0131F" w:rsidP="00C75983">
            <w:pPr>
              <w:ind w:left="75" w:firstLine="1"/>
              <w:jc w:val="both"/>
              <w:rPr>
                <w:rFonts w:ascii="Verdana" w:hAnsi="Verdana" w:cs="Arial"/>
                <w:sz w:val="22"/>
                <w:szCs w:val="22"/>
                <w:lang w:val="es-CO" w:eastAsia="es-CO"/>
              </w:rPr>
            </w:pPr>
          </w:p>
          <w:p w14:paraId="2D80DE28" w14:textId="77777777" w:rsidR="00E0131F" w:rsidRDefault="00E0131F" w:rsidP="00E0131F">
            <w:pPr>
              <w:ind w:left="75" w:firstLine="1"/>
              <w:jc w:val="both"/>
              <w:rPr>
                <w:rFonts w:ascii="Verdana" w:hAnsi="Verdana" w:cs="Arial"/>
                <w:sz w:val="22"/>
                <w:szCs w:val="22"/>
                <w:lang w:val="es-CO" w:eastAsia="es-CO"/>
              </w:rPr>
            </w:pPr>
            <w:r w:rsidRPr="00E0131F">
              <w:rPr>
                <w:rFonts w:ascii="Verdana" w:hAnsi="Verdana" w:cs="Arial"/>
                <w:sz w:val="22"/>
                <w:szCs w:val="22"/>
                <w:lang w:val="es-CO" w:eastAsia="es-CO"/>
              </w:rPr>
              <w:t>En materia de abogacía de la competencia, se diligenció el cuestionario previsto en el artículo 2.2.2.30.5 del Decreto 1074 de 2015 para determinar la posible incidencia del proyecto sobre la libre competencia. Como resultado de dicho análisis no se identificaron aspectos que hicieran necesaria la remisión del proyecto a la Superintendencia de Industria y Comercio para concepto previo.</w:t>
            </w:r>
          </w:p>
          <w:p w14:paraId="3B3F0989" w14:textId="77777777" w:rsidR="00B53D22" w:rsidRPr="00E0131F" w:rsidRDefault="00B53D22" w:rsidP="00E0131F">
            <w:pPr>
              <w:ind w:left="75" w:firstLine="1"/>
              <w:jc w:val="both"/>
              <w:rPr>
                <w:rFonts w:ascii="Verdana" w:hAnsi="Verdana" w:cs="Arial"/>
                <w:sz w:val="22"/>
                <w:szCs w:val="22"/>
                <w:lang w:val="es-CO" w:eastAsia="es-CO"/>
              </w:rPr>
            </w:pPr>
          </w:p>
          <w:p w14:paraId="43D75E60" w14:textId="69F165A6" w:rsidR="00E0131F" w:rsidRPr="00E0131F" w:rsidRDefault="00E0131F" w:rsidP="00E0131F">
            <w:pPr>
              <w:ind w:left="75" w:firstLine="1"/>
              <w:jc w:val="both"/>
              <w:rPr>
                <w:rFonts w:ascii="Verdana" w:hAnsi="Verdana" w:cs="Arial"/>
                <w:sz w:val="22"/>
                <w:szCs w:val="22"/>
                <w:lang w:val="es-CO" w:eastAsia="es-CO"/>
              </w:rPr>
            </w:pPr>
            <w:r w:rsidRPr="00E0131F">
              <w:rPr>
                <w:rFonts w:ascii="Verdana" w:hAnsi="Verdana" w:cs="Arial"/>
                <w:sz w:val="22"/>
                <w:szCs w:val="22"/>
                <w:lang w:val="es-CO" w:eastAsia="es-CO"/>
              </w:rPr>
              <w:t>Asimismo, el proyecto ha sido sometido a consulta pública en dos oportunidades. La primera ronda de comentarios externos se adelantó d</w:t>
            </w:r>
            <w:r w:rsidR="00C24996">
              <w:rPr>
                <w:rFonts w:ascii="Verdana" w:hAnsi="Verdana" w:cs="Arial"/>
                <w:sz w:val="22"/>
                <w:szCs w:val="22"/>
                <w:lang w:val="es-CO" w:eastAsia="es-CO"/>
              </w:rPr>
              <w:t>el 1</w:t>
            </w:r>
            <w:r w:rsidR="00575C38">
              <w:rPr>
                <w:rFonts w:ascii="Verdana" w:hAnsi="Verdana" w:cs="Arial"/>
                <w:sz w:val="22"/>
                <w:szCs w:val="22"/>
                <w:lang w:val="es-CO" w:eastAsia="es-CO"/>
              </w:rPr>
              <w:t>9</w:t>
            </w:r>
            <w:r w:rsidR="00C24996">
              <w:rPr>
                <w:rFonts w:ascii="Verdana" w:hAnsi="Verdana" w:cs="Arial"/>
                <w:sz w:val="22"/>
                <w:szCs w:val="22"/>
                <w:lang w:val="es-CO" w:eastAsia="es-CO"/>
              </w:rPr>
              <w:t xml:space="preserve"> de mayo </w:t>
            </w:r>
            <w:r w:rsidR="00575C38">
              <w:rPr>
                <w:rFonts w:ascii="Verdana" w:hAnsi="Verdana" w:cs="Arial"/>
                <w:sz w:val="22"/>
                <w:szCs w:val="22"/>
                <w:lang w:val="es-CO" w:eastAsia="es-CO"/>
              </w:rPr>
              <w:t>al 13</w:t>
            </w:r>
            <w:r w:rsidRPr="00E0131F">
              <w:rPr>
                <w:rFonts w:ascii="Verdana" w:hAnsi="Verdana" w:cs="Arial"/>
                <w:sz w:val="22"/>
                <w:szCs w:val="22"/>
                <w:lang w:val="es-CO" w:eastAsia="es-CO"/>
              </w:rPr>
              <w:t xml:space="preserve"> de junio de </w:t>
            </w:r>
            <w:r w:rsidR="00575C38">
              <w:rPr>
                <w:rFonts w:ascii="Verdana" w:hAnsi="Verdana" w:cs="Arial"/>
                <w:sz w:val="22"/>
                <w:szCs w:val="22"/>
                <w:lang w:val="es-CO" w:eastAsia="es-CO"/>
              </w:rPr>
              <w:t>202</w:t>
            </w:r>
            <w:r w:rsidR="00CB591E">
              <w:rPr>
                <w:rFonts w:ascii="Verdana" w:hAnsi="Verdana" w:cs="Arial"/>
                <w:sz w:val="22"/>
                <w:szCs w:val="22"/>
                <w:lang w:val="es-CO" w:eastAsia="es-CO"/>
              </w:rPr>
              <w:t>5</w:t>
            </w:r>
            <w:r w:rsidRPr="00E0131F">
              <w:rPr>
                <w:rFonts w:ascii="Verdana" w:hAnsi="Verdana" w:cs="Arial"/>
                <w:sz w:val="22"/>
                <w:szCs w:val="22"/>
                <w:lang w:val="es-CO" w:eastAsia="es-CO"/>
              </w:rPr>
              <w:t xml:space="preserve">. La segunda ronda se realizó durante 2026 </w:t>
            </w:r>
            <w:r w:rsidR="00E70BD0">
              <w:rPr>
                <w:rFonts w:ascii="Verdana" w:hAnsi="Verdana" w:cs="Arial"/>
                <w:sz w:val="22"/>
                <w:szCs w:val="22"/>
                <w:lang w:val="es-CO" w:eastAsia="es-CO"/>
              </w:rPr>
              <w:t xml:space="preserve">del 19 de febrero al 18 </w:t>
            </w:r>
            <w:r w:rsidRPr="00E0131F">
              <w:rPr>
                <w:rFonts w:ascii="Verdana" w:hAnsi="Verdana" w:cs="Arial"/>
                <w:sz w:val="22"/>
                <w:szCs w:val="22"/>
                <w:lang w:val="es-CO" w:eastAsia="es-CO"/>
              </w:rPr>
              <w:t>de marzo</w:t>
            </w:r>
            <w:r w:rsidR="00E70BD0">
              <w:rPr>
                <w:rFonts w:ascii="Verdana" w:hAnsi="Verdana" w:cs="Arial"/>
                <w:sz w:val="22"/>
                <w:szCs w:val="22"/>
                <w:lang w:val="es-CO" w:eastAsia="es-CO"/>
              </w:rPr>
              <w:t>.</w:t>
            </w:r>
            <w:r w:rsidR="001F140A">
              <w:rPr>
                <w:rFonts w:ascii="Verdana" w:hAnsi="Verdana" w:cs="Arial"/>
                <w:sz w:val="22"/>
                <w:szCs w:val="22"/>
                <w:lang w:val="es-CO" w:eastAsia="es-CO"/>
              </w:rPr>
              <w:t xml:space="preserve"> Las</w:t>
            </w:r>
            <w:r w:rsidRPr="00E0131F">
              <w:rPr>
                <w:rFonts w:ascii="Verdana" w:hAnsi="Verdana" w:cs="Arial"/>
                <w:sz w:val="22"/>
                <w:szCs w:val="22"/>
                <w:lang w:val="es-CO" w:eastAsia="es-CO"/>
              </w:rPr>
              <w:t xml:space="preserve"> observaciones recibidas en ambas etapas fueron analizadas y consideradas en la elaboración de la versión actualmente propuesta.</w:t>
            </w:r>
          </w:p>
          <w:p w14:paraId="2EC8B171" w14:textId="77777777" w:rsidR="00E0131F" w:rsidRPr="006710DB" w:rsidRDefault="00E0131F" w:rsidP="00C75983">
            <w:pPr>
              <w:ind w:left="75" w:firstLine="1"/>
              <w:jc w:val="both"/>
              <w:rPr>
                <w:rFonts w:ascii="Verdana" w:hAnsi="Verdana" w:cs="Arial"/>
                <w:sz w:val="22"/>
                <w:szCs w:val="22"/>
                <w:lang w:val="es-CO" w:eastAsia="es-CO"/>
              </w:rPr>
            </w:pPr>
          </w:p>
          <w:p w14:paraId="5A5F7A3E" w14:textId="77777777" w:rsidR="00795C6B" w:rsidRPr="006710DB" w:rsidRDefault="00795C6B" w:rsidP="00795C6B">
            <w:pPr>
              <w:pBdr>
                <w:top w:val="single" w:sz="4" w:space="1" w:color="auto"/>
                <w:left w:val="single" w:sz="4" w:space="4" w:color="auto"/>
                <w:bottom w:val="single" w:sz="4" w:space="1" w:color="auto"/>
                <w:right w:val="single" w:sz="4" w:space="4" w:color="auto"/>
              </w:pBdr>
              <w:jc w:val="both"/>
              <w:rPr>
                <w:rFonts w:ascii="Verdana" w:hAnsi="Verdana" w:cs="Arial"/>
                <w:sz w:val="22"/>
                <w:szCs w:val="22"/>
                <w:lang w:val="es-CO" w:eastAsia="es-CO"/>
              </w:rPr>
            </w:pPr>
          </w:p>
        </w:tc>
      </w:tr>
      <w:tr w:rsidR="00DF60FD" w:rsidRPr="006710DB" w14:paraId="20430418" w14:textId="77777777" w:rsidTr="0075705D">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8046BBA" w14:textId="77777777" w:rsidR="00843EFF" w:rsidRPr="007E597A" w:rsidRDefault="00843EFF" w:rsidP="009E385B">
            <w:pPr>
              <w:jc w:val="both"/>
              <w:rPr>
                <w:rFonts w:ascii="Verdana" w:hAnsi="Verdana" w:cs="Arial"/>
                <w:b/>
                <w:i/>
                <w:iCs/>
                <w:color w:val="000000"/>
                <w:sz w:val="22"/>
                <w:szCs w:val="22"/>
              </w:rPr>
            </w:pPr>
          </w:p>
          <w:p w14:paraId="1CA59929" w14:textId="77777777" w:rsidR="00843EFF" w:rsidRPr="00D24B1C" w:rsidRDefault="00DF60FD" w:rsidP="000D48E8">
            <w:pPr>
              <w:numPr>
                <w:ilvl w:val="0"/>
                <w:numId w:val="2"/>
              </w:numPr>
              <w:jc w:val="both"/>
              <w:rPr>
                <w:rFonts w:ascii="Verdana" w:hAnsi="Verdana" w:cs="Arial"/>
                <w:sz w:val="22"/>
                <w:szCs w:val="22"/>
                <w:lang w:val="es-CO"/>
              </w:rPr>
            </w:pPr>
            <w:r w:rsidRPr="00D24B1C">
              <w:rPr>
                <w:rFonts w:ascii="Verdana" w:hAnsi="Verdana" w:cs="Arial"/>
                <w:b/>
                <w:color w:val="000000"/>
                <w:sz w:val="22"/>
                <w:szCs w:val="22"/>
              </w:rPr>
              <w:t xml:space="preserve">IMPACTO ECONÓMICO </w:t>
            </w:r>
          </w:p>
          <w:p w14:paraId="17F18487" w14:textId="77777777" w:rsidR="009E385B" w:rsidRPr="007E597A" w:rsidRDefault="009E385B" w:rsidP="009E385B">
            <w:pPr>
              <w:jc w:val="both"/>
              <w:rPr>
                <w:rFonts w:ascii="Verdana" w:hAnsi="Verdana" w:cs="Arial"/>
                <w:i/>
                <w:iCs/>
                <w:sz w:val="22"/>
                <w:szCs w:val="22"/>
                <w:lang w:val="es-CO"/>
              </w:rPr>
            </w:pPr>
          </w:p>
          <w:p w14:paraId="2775DF39" w14:textId="77B44734" w:rsidR="00CA62BE" w:rsidRDefault="00CA62BE" w:rsidP="00CA62BE">
            <w:pPr>
              <w:jc w:val="both"/>
              <w:rPr>
                <w:rFonts w:ascii="Verdana" w:hAnsi="Verdana" w:cs="Arial"/>
                <w:sz w:val="22"/>
                <w:szCs w:val="22"/>
              </w:rPr>
            </w:pPr>
            <w:r w:rsidRPr="008852B8">
              <w:rPr>
                <w:rFonts w:ascii="Verdana" w:hAnsi="Verdana" w:cs="Arial"/>
                <w:sz w:val="22"/>
                <w:szCs w:val="22"/>
              </w:rPr>
              <w:t xml:space="preserve">De acuerdo con el concepto emitido por la Subdirección de Investigación y Análisis identificado con radicado No. </w:t>
            </w:r>
            <w:r w:rsidR="0039620F" w:rsidRPr="008852B8">
              <w:rPr>
                <w:rFonts w:ascii="Verdana" w:hAnsi="Verdana" w:cs="Arial"/>
                <w:sz w:val="22"/>
                <w:szCs w:val="22"/>
                <w:lang w:val="es-CO"/>
              </w:rPr>
              <w:t>2024111022</w:t>
            </w:r>
            <w:r w:rsidRPr="008852B8">
              <w:rPr>
                <w:rFonts w:ascii="Verdana" w:hAnsi="Verdana" w:cs="Arial"/>
                <w:sz w:val="22"/>
                <w:szCs w:val="22"/>
              </w:rPr>
              <w:t>-</w:t>
            </w:r>
            <w:r w:rsidR="0039620F" w:rsidRPr="008852B8">
              <w:rPr>
                <w:rFonts w:ascii="Verdana" w:hAnsi="Verdana" w:cs="Arial"/>
                <w:sz w:val="22"/>
                <w:szCs w:val="22"/>
              </w:rPr>
              <w:t>102</w:t>
            </w:r>
            <w:r w:rsidRPr="008852B8">
              <w:rPr>
                <w:rFonts w:ascii="Verdana" w:hAnsi="Verdana" w:cs="Arial"/>
                <w:sz w:val="22"/>
                <w:szCs w:val="22"/>
              </w:rPr>
              <w:t xml:space="preserve"> del </w:t>
            </w:r>
            <w:r w:rsidR="0039620F" w:rsidRPr="008852B8">
              <w:rPr>
                <w:rFonts w:ascii="Verdana" w:hAnsi="Verdana" w:cs="Arial"/>
                <w:sz w:val="22"/>
                <w:szCs w:val="22"/>
              </w:rPr>
              <w:t>0</w:t>
            </w:r>
            <w:r w:rsidRPr="008852B8">
              <w:rPr>
                <w:rFonts w:ascii="Verdana" w:hAnsi="Verdana" w:cs="Arial"/>
                <w:sz w:val="22"/>
                <w:szCs w:val="22"/>
              </w:rPr>
              <w:t xml:space="preserve">1 de </w:t>
            </w:r>
            <w:r w:rsidR="0039620F" w:rsidRPr="008852B8">
              <w:rPr>
                <w:rFonts w:ascii="Verdana" w:hAnsi="Verdana" w:cs="Arial"/>
                <w:sz w:val="22"/>
                <w:szCs w:val="22"/>
              </w:rPr>
              <w:t>agosto</w:t>
            </w:r>
            <w:r w:rsidRPr="008852B8">
              <w:rPr>
                <w:rFonts w:ascii="Verdana" w:hAnsi="Verdana" w:cs="Arial"/>
                <w:sz w:val="22"/>
                <w:szCs w:val="22"/>
              </w:rPr>
              <w:t xml:space="preserve"> de 2026, a continuación, se presenta el análisis económico</w:t>
            </w:r>
            <w:r w:rsidR="00C85A35">
              <w:rPr>
                <w:rFonts w:ascii="Verdana" w:hAnsi="Verdana" w:cs="Arial"/>
                <w:sz w:val="22"/>
                <w:szCs w:val="22"/>
              </w:rPr>
              <w:t xml:space="preserve"> y </w:t>
            </w:r>
            <w:r w:rsidRPr="008852B8">
              <w:rPr>
                <w:rFonts w:ascii="Verdana" w:hAnsi="Verdana" w:cs="Arial"/>
                <w:sz w:val="22"/>
                <w:szCs w:val="22"/>
              </w:rPr>
              <w:t>financiero</w:t>
            </w:r>
            <w:r w:rsidR="00CB591E">
              <w:rPr>
                <w:rFonts w:ascii="Verdana" w:hAnsi="Verdana" w:cs="Arial"/>
                <w:sz w:val="22"/>
                <w:szCs w:val="22"/>
              </w:rPr>
              <w:t xml:space="preserve"> </w:t>
            </w:r>
            <w:r w:rsidRPr="008852B8">
              <w:rPr>
                <w:rFonts w:ascii="Verdana" w:hAnsi="Verdana" w:cs="Arial"/>
                <w:sz w:val="22"/>
                <w:szCs w:val="22"/>
              </w:rPr>
              <w:t>de los posibles efectos del proyecto de circular externa.</w:t>
            </w:r>
          </w:p>
          <w:p w14:paraId="7FC0651B" w14:textId="77777777" w:rsidR="00CA62BE" w:rsidRPr="007E597A" w:rsidRDefault="00CA62BE" w:rsidP="00CA62BE">
            <w:pPr>
              <w:ind w:right="724"/>
              <w:jc w:val="both"/>
              <w:rPr>
                <w:rFonts w:ascii="Verdana" w:hAnsi="Verdana" w:cs="Arial"/>
                <w:i/>
                <w:iCs/>
                <w:sz w:val="22"/>
                <w:szCs w:val="22"/>
              </w:rPr>
            </w:pPr>
          </w:p>
          <w:p w14:paraId="12F3C75B" w14:textId="77777777" w:rsidR="0039620F" w:rsidRPr="00AA63F0" w:rsidRDefault="00CA62BE" w:rsidP="00D24B1C">
            <w:pPr>
              <w:ind w:left="708"/>
              <w:jc w:val="both"/>
              <w:rPr>
                <w:rFonts w:ascii="Verdana" w:hAnsi="Verdana" w:cs="Arial"/>
                <w:i/>
                <w:iCs/>
                <w:sz w:val="22"/>
                <w:szCs w:val="22"/>
              </w:rPr>
            </w:pPr>
            <w:r w:rsidRPr="00AA63F0">
              <w:rPr>
                <w:rFonts w:ascii="Verdana" w:hAnsi="Verdana" w:cs="Arial"/>
                <w:i/>
                <w:iCs/>
                <w:sz w:val="22"/>
                <w:szCs w:val="22"/>
              </w:rPr>
              <w:t>«</w:t>
            </w:r>
            <w:r w:rsidR="0039620F" w:rsidRPr="00AA63F0">
              <w:rPr>
                <w:rFonts w:ascii="Verdana" w:hAnsi="Verdana" w:cs="Arial"/>
                <w:i/>
                <w:iCs/>
                <w:sz w:val="22"/>
                <w:szCs w:val="22"/>
              </w:rPr>
              <w:t xml:space="preserve">El proyecto normativo establece lineamientos para el GERCO, con el propósito de </w:t>
            </w:r>
            <w:proofErr w:type="gramStart"/>
            <w:r w:rsidR="0039620F" w:rsidRPr="00AA63F0">
              <w:rPr>
                <w:rFonts w:ascii="Verdana" w:hAnsi="Verdana" w:cs="Arial"/>
                <w:i/>
                <w:iCs/>
                <w:sz w:val="22"/>
                <w:szCs w:val="22"/>
              </w:rPr>
              <w:t>que</w:t>
            </w:r>
            <w:r w:rsidR="00AA63F0" w:rsidRPr="00AA63F0">
              <w:rPr>
                <w:rFonts w:ascii="Verdana" w:hAnsi="Verdana" w:cs="Arial"/>
                <w:i/>
                <w:iCs/>
                <w:sz w:val="22"/>
                <w:szCs w:val="22"/>
              </w:rPr>
              <w:t xml:space="preserve"> </w:t>
            </w:r>
            <w:r w:rsidR="0039620F" w:rsidRPr="00AA63F0">
              <w:rPr>
                <w:rFonts w:ascii="Verdana" w:hAnsi="Verdana" w:cs="Arial"/>
                <w:i/>
                <w:iCs/>
                <w:sz w:val="22"/>
                <w:szCs w:val="22"/>
              </w:rPr>
              <w:t xml:space="preserve"> las</w:t>
            </w:r>
            <w:proofErr w:type="gramEnd"/>
            <w:r w:rsidR="0039620F" w:rsidRPr="00AA63F0">
              <w:rPr>
                <w:rFonts w:ascii="Verdana" w:hAnsi="Verdana" w:cs="Arial"/>
                <w:i/>
                <w:iCs/>
                <w:sz w:val="22"/>
                <w:szCs w:val="22"/>
              </w:rPr>
              <w:t xml:space="preserve"> entidades vigiladas identifiquen, evalúen, controlen, monitoreen, registren y documenten las actuaciones, decisiones, omisiones o prácticas que puedan causar daño a los consumidores financieros o afectar la transparencia e integridad de los mercados.</w:t>
            </w:r>
          </w:p>
          <w:p w14:paraId="2D339BFE" w14:textId="77777777" w:rsidR="0039620F" w:rsidRPr="00AA63F0" w:rsidRDefault="0039620F" w:rsidP="00AA63F0">
            <w:pPr>
              <w:jc w:val="both"/>
              <w:rPr>
                <w:rFonts w:ascii="Verdana" w:hAnsi="Verdana" w:cs="Arial"/>
                <w:i/>
                <w:iCs/>
                <w:sz w:val="22"/>
                <w:szCs w:val="22"/>
              </w:rPr>
            </w:pPr>
          </w:p>
          <w:p w14:paraId="2FF42003" w14:textId="77777777" w:rsidR="0039620F" w:rsidRPr="00AA63F0" w:rsidRDefault="0039620F" w:rsidP="00D24B1C">
            <w:pPr>
              <w:ind w:left="708"/>
              <w:jc w:val="both"/>
              <w:rPr>
                <w:rFonts w:ascii="Verdana" w:hAnsi="Verdana" w:cs="Arial"/>
                <w:i/>
                <w:iCs/>
                <w:sz w:val="22"/>
                <w:szCs w:val="22"/>
              </w:rPr>
            </w:pPr>
            <w:r w:rsidRPr="00AA63F0">
              <w:rPr>
                <w:rFonts w:ascii="Verdana" w:hAnsi="Verdana" w:cs="Arial"/>
                <w:i/>
                <w:iCs/>
                <w:sz w:val="22"/>
                <w:szCs w:val="22"/>
              </w:rPr>
              <w:t xml:space="preserve">Se espera que su implementación genere beneficios en materia de protección al consumidor financiero, transparencia e integridad de los mercados, mejoramiento del diseño y comercialización de productos, fortalecimiento del gobierno corporativo y de la cultura organizacional, y alineación de los esquemas de incentivos. De manera indirecta, </w:t>
            </w:r>
            <w:r w:rsidRPr="00AA63F0">
              <w:rPr>
                <w:rFonts w:ascii="Verdana" w:hAnsi="Verdana" w:cs="Arial"/>
                <w:i/>
                <w:iCs/>
                <w:sz w:val="22"/>
                <w:szCs w:val="22"/>
              </w:rPr>
              <w:lastRenderedPageBreak/>
              <w:t>la medida también podría contribuir al fortalecimiento de la confianza en el sistema financiero.</w:t>
            </w:r>
          </w:p>
          <w:p w14:paraId="437CEA88" w14:textId="77777777" w:rsidR="0039620F" w:rsidRPr="00AA63F0" w:rsidRDefault="0039620F" w:rsidP="00AA63F0">
            <w:pPr>
              <w:jc w:val="both"/>
              <w:rPr>
                <w:rFonts w:ascii="Verdana" w:hAnsi="Verdana" w:cs="Arial"/>
                <w:i/>
                <w:iCs/>
                <w:sz w:val="22"/>
                <w:szCs w:val="22"/>
              </w:rPr>
            </w:pPr>
          </w:p>
          <w:p w14:paraId="2A3E3C46" w14:textId="77777777" w:rsidR="00CA62BE" w:rsidRPr="007E597A" w:rsidRDefault="0039620F" w:rsidP="00D24B1C">
            <w:pPr>
              <w:ind w:left="708"/>
              <w:jc w:val="both"/>
              <w:rPr>
                <w:rFonts w:ascii="Verdana" w:hAnsi="Verdana" w:cs="Arial"/>
                <w:i/>
                <w:iCs/>
                <w:sz w:val="22"/>
                <w:szCs w:val="22"/>
              </w:rPr>
            </w:pPr>
            <w:r w:rsidRPr="00AA63F0">
              <w:rPr>
                <w:rFonts w:ascii="Verdana" w:hAnsi="Verdana" w:cs="Arial"/>
                <w:i/>
                <w:iCs/>
                <w:sz w:val="22"/>
                <w:szCs w:val="22"/>
              </w:rPr>
              <w:t>Por otra parte, la adopción del GERCO generará costos administrativos, operativos, tecnológicos y de gobierno corporativo asociados con la adecuación de los procesos, metodologías, controles y sistemas de gestión de riesgos necesarios para incorporar y gestionar el riesgo de conductas.</w:t>
            </w:r>
          </w:p>
          <w:p w14:paraId="309B0D3E" w14:textId="77777777" w:rsidR="00CA62BE" w:rsidRPr="007E597A" w:rsidRDefault="00CA62BE" w:rsidP="00CA62BE">
            <w:pPr>
              <w:jc w:val="both"/>
              <w:rPr>
                <w:rFonts w:ascii="Verdana" w:hAnsi="Verdana" w:cs="Arial"/>
                <w:i/>
                <w:iCs/>
                <w:sz w:val="22"/>
                <w:szCs w:val="22"/>
              </w:rPr>
            </w:pPr>
          </w:p>
          <w:p w14:paraId="4757C5C3" w14:textId="77777777" w:rsidR="00693E57" w:rsidRPr="007E597A" w:rsidRDefault="00693E57" w:rsidP="00345F4B">
            <w:pPr>
              <w:numPr>
                <w:ilvl w:val="0"/>
                <w:numId w:val="30"/>
              </w:numPr>
              <w:ind w:left="1066"/>
              <w:jc w:val="both"/>
              <w:rPr>
                <w:rFonts w:ascii="Verdana" w:hAnsi="Verdana" w:cs="Arial"/>
                <w:b/>
                <w:bCs/>
                <w:i/>
                <w:iCs/>
                <w:sz w:val="22"/>
                <w:szCs w:val="22"/>
                <w:lang w:val="es-CO"/>
              </w:rPr>
            </w:pPr>
            <w:r w:rsidRPr="007E597A">
              <w:rPr>
                <w:rFonts w:ascii="Verdana" w:hAnsi="Verdana" w:cs="Arial"/>
                <w:b/>
                <w:bCs/>
                <w:i/>
                <w:iCs/>
                <w:sz w:val="22"/>
                <w:szCs w:val="22"/>
                <w:lang w:val="es-CO"/>
              </w:rPr>
              <w:t>Beneficios del GERCO</w:t>
            </w:r>
          </w:p>
          <w:p w14:paraId="0D4A9333" w14:textId="77777777" w:rsidR="00693E57" w:rsidRPr="007E597A" w:rsidRDefault="00693E57" w:rsidP="00693E57">
            <w:pPr>
              <w:ind w:left="720"/>
              <w:jc w:val="both"/>
              <w:rPr>
                <w:rFonts w:ascii="Verdana" w:hAnsi="Verdana" w:cs="Arial"/>
                <w:b/>
                <w:bCs/>
                <w:i/>
                <w:iCs/>
                <w:sz w:val="22"/>
                <w:szCs w:val="22"/>
                <w:lang w:val="es-CO"/>
              </w:rPr>
            </w:pPr>
          </w:p>
          <w:p w14:paraId="00FDB857" w14:textId="77777777" w:rsidR="00693E57" w:rsidRPr="007E597A" w:rsidRDefault="00693E57" w:rsidP="00345F4B">
            <w:pPr>
              <w:ind w:left="782"/>
              <w:jc w:val="both"/>
              <w:rPr>
                <w:rFonts w:ascii="Verdana" w:hAnsi="Verdana" w:cs="Arial"/>
                <w:bCs/>
                <w:i/>
                <w:iCs/>
                <w:sz w:val="22"/>
                <w:szCs w:val="22"/>
                <w:lang w:val="es-CO"/>
              </w:rPr>
            </w:pPr>
            <w:r w:rsidRPr="007E597A">
              <w:rPr>
                <w:rFonts w:ascii="Verdana" w:hAnsi="Verdana" w:cs="Arial"/>
                <w:bCs/>
                <w:i/>
                <w:iCs/>
                <w:sz w:val="22"/>
                <w:szCs w:val="22"/>
                <w:lang w:val="es-CO"/>
              </w:rPr>
              <w:t>A continuación, se presentan los principales beneficios esperados de la implementación de la</w:t>
            </w:r>
            <w:r w:rsidR="00A50084">
              <w:rPr>
                <w:rFonts w:ascii="Verdana" w:hAnsi="Verdana" w:cs="Arial"/>
                <w:bCs/>
                <w:i/>
                <w:iCs/>
                <w:sz w:val="22"/>
                <w:szCs w:val="22"/>
                <w:lang w:val="es-CO"/>
              </w:rPr>
              <w:t xml:space="preserve"> </w:t>
            </w:r>
            <w:r w:rsidRPr="007E597A">
              <w:rPr>
                <w:rFonts w:ascii="Verdana" w:hAnsi="Verdana" w:cs="Arial"/>
                <w:bCs/>
                <w:i/>
                <w:iCs/>
                <w:sz w:val="22"/>
                <w:szCs w:val="22"/>
                <w:lang w:val="es-CO"/>
              </w:rPr>
              <w:t>Gestión del Riesgo de Conductas (GERCO).</w:t>
            </w:r>
          </w:p>
          <w:p w14:paraId="2095868C" w14:textId="77777777" w:rsidR="0086652D" w:rsidRPr="007E597A" w:rsidRDefault="0086652D" w:rsidP="0086652D">
            <w:pPr>
              <w:jc w:val="both"/>
              <w:rPr>
                <w:rFonts w:ascii="Verdana" w:hAnsi="Verdana" w:cs="Arial"/>
                <w:bCs/>
                <w:i/>
                <w:iCs/>
                <w:sz w:val="22"/>
                <w:szCs w:val="22"/>
                <w:lang w:val="es-CO"/>
              </w:rPr>
            </w:pPr>
          </w:p>
          <w:p w14:paraId="23577165" w14:textId="77777777" w:rsidR="00071268" w:rsidRDefault="00071268" w:rsidP="0086652D">
            <w:pPr>
              <w:jc w:val="both"/>
              <w:rPr>
                <w:rFonts w:ascii="Verdana" w:hAnsi="Verdana" w:cs="Arial"/>
                <w:bCs/>
                <w:i/>
                <w:iCs/>
                <w:sz w:val="22"/>
                <w:szCs w:val="22"/>
                <w:lang w:val="es-CO"/>
              </w:rPr>
            </w:pPr>
          </w:p>
          <w:p w14:paraId="6CA5E813" w14:textId="77777777" w:rsidR="00693E57" w:rsidRPr="007E597A" w:rsidRDefault="00693E57" w:rsidP="00071268">
            <w:pPr>
              <w:ind w:left="708"/>
              <w:jc w:val="both"/>
              <w:rPr>
                <w:rFonts w:ascii="Verdana" w:hAnsi="Verdana" w:cs="Arial"/>
                <w:bCs/>
                <w:i/>
                <w:iCs/>
                <w:sz w:val="22"/>
                <w:szCs w:val="22"/>
                <w:lang w:val="es-CO"/>
              </w:rPr>
            </w:pPr>
            <w:r w:rsidRPr="007E597A">
              <w:rPr>
                <w:rFonts w:ascii="Verdana" w:hAnsi="Verdana" w:cs="Arial"/>
                <w:bCs/>
                <w:i/>
                <w:iCs/>
                <w:sz w:val="22"/>
                <w:szCs w:val="22"/>
                <w:lang w:val="es-CO"/>
              </w:rPr>
              <w:t>1.1. Fortalecimiento de la protección de los consumidores financieros y de la transparencia e</w:t>
            </w:r>
            <w:r w:rsidR="00A50084">
              <w:rPr>
                <w:rFonts w:ascii="Verdana" w:hAnsi="Verdana" w:cs="Arial"/>
                <w:bCs/>
                <w:i/>
                <w:iCs/>
                <w:sz w:val="22"/>
                <w:szCs w:val="22"/>
                <w:lang w:val="es-CO"/>
              </w:rPr>
              <w:t xml:space="preserve"> </w:t>
            </w:r>
            <w:r w:rsidRPr="007E597A">
              <w:rPr>
                <w:rFonts w:ascii="Verdana" w:hAnsi="Verdana" w:cs="Arial"/>
                <w:bCs/>
                <w:i/>
                <w:iCs/>
                <w:sz w:val="22"/>
                <w:szCs w:val="22"/>
                <w:lang w:val="es-CO"/>
              </w:rPr>
              <w:t>integridad de los mercados</w:t>
            </w:r>
          </w:p>
          <w:p w14:paraId="33C501D3" w14:textId="77777777" w:rsidR="0086652D" w:rsidRPr="007E597A" w:rsidRDefault="0086652D" w:rsidP="0086652D">
            <w:pPr>
              <w:jc w:val="both"/>
              <w:rPr>
                <w:rFonts w:ascii="Verdana" w:hAnsi="Verdana" w:cs="Arial"/>
                <w:bCs/>
                <w:i/>
                <w:iCs/>
                <w:sz w:val="22"/>
                <w:szCs w:val="22"/>
                <w:lang w:val="es-CO"/>
              </w:rPr>
            </w:pPr>
          </w:p>
          <w:p w14:paraId="27E3C083" w14:textId="77777777" w:rsidR="00693E57" w:rsidRPr="007E597A" w:rsidRDefault="00693E57" w:rsidP="00345F4B">
            <w:pPr>
              <w:ind w:left="782"/>
              <w:jc w:val="both"/>
              <w:rPr>
                <w:rFonts w:ascii="Verdana" w:hAnsi="Verdana" w:cs="Arial"/>
                <w:bCs/>
                <w:i/>
                <w:iCs/>
                <w:sz w:val="22"/>
                <w:szCs w:val="22"/>
                <w:lang w:val="es-CO"/>
              </w:rPr>
            </w:pPr>
            <w:r w:rsidRPr="007E597A">
              <w:rPr>
                <w:rFonts w:ascii="Verdana" w:hAnsi="Verdana" w:cs="Arial"/>
                <w:bCs/>
                <w:i/>
                <w:iCs/>
                <w:sz w:val="22"/>
                <w:szCs w:val="22"/>
                <w:lang w:val="es-CO"/>
              </w:rPr>
              <w:t>El principal beneficio esperado del proyecto de circular externa (PCE) consiste en fortalecer la</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prevención y gestión de las prácticas que puedan ocasionar afectaciones a los consumidores</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financieros o comprometer la transparencia e integridad de los mercados.</w:t>
            </w:r>
          </w:p>
          <w:p w14:paraId="675D38A8" w14:textId="77777777" w:rsidR="0086652D" w:rsidRPr="007E597A" w:rsidRDefault="0086652D" w:rsidP="0086652D">
            <w:pPr>
              <w:jc w:val="both"/>
              <w:rPr>
                <w:rFonts w:ascii="Verdana" w:hAnsi="Verdana" w:cs="Arial"/>
                <w:bCs/>
                <w:i/>
                <w:iCs/>
                <w:sz w:val="22"/>
                <w:szCs w:val="22"/>
                <w:lang w:val="es-CO"/>
              </w:rPr>
            </w:pPr>
          </w:p>
          <w:p w14:paraId="7E53616A"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 implementación del GERCO permitirá a las entidades vigiladas identificar, evaluar, controlar</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y monitorear los riesgos derivados de las actuaciones, decisiones, omisiones o prácticas de la</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entidad, sus administradores, funcionarios o terceros que actúen en su nombre. Lo anterior</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permitirá fortalecer el trato justo a los consumidores financieros, proteger la transparencia e</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integridad de los mercados y mejorar la trazabilidad de los eventos de conducta identificados o</w:t>
            </w:r>
          </w:p>
          <w:p w14:paraId="5FCD1E49"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materializados.</w:t>
            </w:r>
          </w:p>
          <w:p w14:paraId="5B0FBD3F" w14:textId="77777777" w:rsidR="0086652D" w:rsidRPr="007E597A" w:rsidRDefault="0086652D" w:rsidP="00345F4B">
            <w:pPr>
              <w:ind w:left="498"/>
              <w:jc w:val="both"/>
              <w:rPr>
                <w:rFonts w:ascii="Verdana" w:hAnsi="Verdana" w:cs="Arial"/>
                <w:bCs/>
                <w:i/>
                <w:iCs/>
                <w:sz w:val="22"/>
                <w:szCs w:val="22"/>
                <w:lang w:val="es-CO"/>
              </w:rPr>
            </w:pPr>
          </w:p>
          <w:p w14:paraId="624D164D" w14:textId="64D725DD"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El análisis de estos eventos facilitará la determinación de sus causas raíz, incluso cuando estas</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se originen en el diseño de los productos y servicios, y permitirá establecer controles y</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acciones correctivas orientados a reducir su ocurrencia o mitigar sus efectos.</w:t>
            </w:r>
          </w:p>
          <w:p w14:paraId="425D7046" w14:textId="77777777" w:rsidR="0086652D" w:rsidRPr="007E597A" w:rsidRDefault="0086652D" w:rsidP="00345F4B">
            <w:pPr>
              <w:ind w:left="498"/>
              <w:jc w:val="both"/>
              <w:rPr>
                <w:rFonts w:ascii="Verdana" w:hAnsi="Verdana" w:cs="Arial"/>
                <w:bCs/>
                <w:i/>
                <w:iCs/>
                <w:sz w:val="22"/>
                <w:szCs w:val="22"/>
                <w:lang w:val="es-CO"/>
              </w:rPr>
            </w:pPr>
          </w:p>
          <w:p w14:paraId="15A90147"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consecuencia, la medida podría contribuir a disminuir la ocurrencia de reclamaciones,</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reprocesos, controversias judiciales, compensaciones e indemnizaciones, así como la</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exposición a sanciones administrativas. Lo anterior podría generar beneficios económicos para</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las entidades vigiladas como para los consumidores financieros, al reducir los costos asociados</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con la corrección de conductas inadecuadas y la atención de sus consecuencias.</w:t>
            </w:r>
          </w:p>
          <w:p w14:paraId="0FA2BE16" w14:textId="77777777" w:rsidR="0086652D" w:rsidRPr="007E597A" w:rsidRDefault="0086652D" w:rsidP="0086652D">
            <w:pPr>
              <w:jc w:val="both"/>
              <w:rPr>
                <w:rFonts w:ascii="Verdana" w:hAnsi="Verdana" w:cs="Arial"/>
                <w:bCs/>
                <w:i/>
                <w:iCs/>
                <w:sz w:val="22"/>
                <w:szCs w:val="22"/>
                <w:lang w:val="es-CO"/>
              </w:rPr>
            </w:pPr>
          </w:p>
          <w:p w14:paraId="71631BCB" w14:textId="77777777" w:rsidR="00693E57" w:rsidRPr="007E597A" w:rsidRDefault="00693E57" w:rsidP="0086652D">
            <w:pPr>
              <w:numPr>
                <w:ilvl w:val="1"/>
                <w:numId w:val="30"/>
              </w:numPr>
              <w:jc w:val="both"/>
              <w:rPr>
                <w:rFonts w:ascii="Verdana" w:hAnsi="Verdana" w:cs="Arial"/>
                <w:bCs/>
                <w:i/>
                <w:iCs/>
                <w:sz w:val="22"/>
                <w:szCs w:val="22"/>
                <w:lang w:val="es-CO"/>
              </w:rPr>
            </w:pPr>
            <w:r w:rsidRPr="007E597A">
              <w:rPr>
                <w:rFonts w:ascii="Verdana" w:hAnsi="Verdana" w:cs="Arial"/>
                <w:bCs/>
                <w:i/>
                <w:iCs/>
                <w:sz w:val="22"/>
                <w:szCs w:val="22"/>
                <w:lang w:val="es-CO"/>
              </w:rPr>
              <w:t>Mejoramiento del diseño y comercialización de productos y alineación de los incentivos</w:t>
            </w:r>
          </w:p>
          <w:p w14:paraId="022E37BB" w14:textId="77777777" w:rsidR="0086652D" w:rsidRPr="007E597A" w:rsidRDefault="0086652D" w:rsidP="0086652D">
            <w:pPr>
              <w:ind w:left="360"/>
              <w:jc w:val="both"/>
              <w:rPr>
                <w:rFonts w:ascii="Verdana" w:hAnsi="Verdana" w:cs="Arial"/>
                <w:bCs/>
                <w:i/>
                <w:iCs/>
                <w:sz w:val="22"/>
                <w:szCs w:val="22"/>
                <w:lang w:val="es-CO"/>
              </w:rPr>
            </w:pPr>
          </w:p>
          <w:p w14:paraId="621F735E" w14:textId="13C91C28"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 definición del mercado objetivo, la realización de pruebas antes del lanzamiento o</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modificación significativa de los productos y el seguimiento permanente a su desempeño</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podrían mejorar la correspondencia entre sus características y las necesidades, capacidades y</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 xml:space="preserve">condiciones de los consumidores financieros. Esto permitiría identificar </w:t>
            </w:r>
            <w:r w:rsidRPr="007E597A">
              <w:rPr>
                <w:rFonts w:ascii="Verdana" w:hAnsi="Verdana" w:cs="Arial"/>
                <w:bCs/>
                <w:i/>
                <w:iCs/>
                <w:sz w:val="22"/>
                <w:szCs w:val="22"/>
                <w:lang w:val="es-CO"/>
              </w:rPr>
              <w:lastRenderedPageBreak/>
              <w:t>anticipadamente riesgos</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derivados de condiciones contractuales complejas, costos poco transparentes, canales</w:t>
            </w:r>
            <w:r w:rsidR="0086652D"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inadecuados o resultados desfavorables para determinados segmentos.</w:t>
            </w:r>
          </w:p>
          <w:p w14:paraId="6B99D8A1" w14:textId="77777777" w:rsidR="0086652D" w:rsidRPr="007E597A" w:rsidRDefault="0086652D" w:rsidP="00345F4B">
            <w:pPr>
              <w:ind w:left="498"/>
              <w:jc w:val="both"/>
              <w:rPr>
                <w:rFonts w:ascii="Verdana" w:hAnsi="Verdana" w:cs="Arial"/>
                <w:bCs/>
                <w:i/>
                <w:iCs/>
                <w:sz w:val="22"/>
                <w:szCs w:val="22"/>
                <w:lang w:val="es-CO"/>
              </w:rPr>
            </w:pPr>
          </w:p>
          <w:p w14:paraId="08187F85"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Asimismo, la revisión de las metas comerciales, las políticas de remuneración y los esquemas</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 incentivos puede contribuir a evitar que la fuerza comercial, distribuidores o terceros</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prioricen el volumen de ventas sobre la calidad de la asesoría, la adecuación del producto al</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mercado objetivo y el cumplimiento de la oferta de valor. Este aspecto resulta especialmente</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relevante en productos complejos, de largo plazo o que requieren asesoría especializada.</w:t>
            </w:r>
          </w:p>
          <w:p w14:paraId="2EE0BB81" w14:textId="77777777" w:rsidR="0010111B" w:rsidRPr="007E597A" w:rsidRDefault="0010111B" w:rsidP="00345F4B">
            <w:pPr>
              <w:ind w:left="498"/>
              <w:jc w:val="both"/>
              <w:rPr>
                <w:rFonts w:ascii="Verdana" w:hAnsi="Verdana" w:cs="Arial"/>
                <w:bCs/>
                <w:i/>
                <w:iCs/>
                <w:sz w:val="22"/>
                <w:szCs w:val="22"/>
                <w:lang w:val="es-CO"/>
              </w:rPr>
            </w:pPr>
          </w:p>
          <w:p w14:paraId="75F2A4D1" w14:textId="1A1FAEE2"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consecuencia, la medida podría mejorar la calidad del diseño y comercialización de los</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productos y servicios financieros, reducir el riesgo de ventas inadecuadas y facilitar la adopción</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oportuna de ajustes cuando se identifiquen reclamaciones recurrentes o cancelaciones</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tempranas, entre otros.</w:t>
            </w:r>
          </w:p>
          <w:p w14:paraId="78A9D27E" w14:textId="77777777" w:rsidR="0010111B" w:rsidRPr="007E597A" w:rsidRDefault="0010111B" w:rsidP="0086652D">
            <w:pPr>
              <w:jc w:val="both"/>
              <w:rPr>
                <w:rFonts w:ascii="Verdana" w:hAnsi="Verdana" w:cs="Arial"/>
                <w:bCs/>
                <w:i/>
                <w:iCs/>
                <w:sz w:val="22"/>
                <w:szCs w:val="22"/>
                <w:lang w:val="es-CO"/>
              </w:rPr>
            </w:pPr>
          </w:p>
          <w:p w14:paraId="78D44651" w14:textId="77777777" w:rsidR="00693E57" w:rsidRPr="007E597A" w:rsidRDefault="00693E57" w:rsidP="0086652D">
            <w:pPr>
              <w:jc w:val="both"/>
              <w:rPr>
                <w:rFonts w:ascii="Verdana" w:hAnsi="Verdana" w:cs="Arial"/>
                <w:bCs/>
                <w:i/>
                <w:iCs/>
                <w:sz w:val="22"/>
                <w:szCs w:val="22"/>
                <w:lang w:val="es-CO"/>
              </w:rPr>
            </w:pPr>
            <w:r w:rsidRPr="007E597A">
              <w:rPr>
                <w:rFonts w:ascii="Verdana" w:hAnsi="Verdana" w:cs="Arial"/>
                <w:bCs/>
                <w:i/>
                <w:iCs/>
                <w:sz w:val="22"/>
                <w:szCs w:val="22"/>
                <w:lang w:val="es-CO"/>
              </w:rPr>
              <w:t>Asimismo, la formación continua de los funcionarios y administradores en materia de ética, trato</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justo, transparencia y gestión de conflictos de interés podría fortalecer una cultura</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organizacional orientada a la prevención de daños a los consumidores financieros y a la</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protección de la transparencia e integridad de los mercados.</w:t>
            </w:r>
          </w:p>
          <w:p w14:paraId="029A953B" w14:textId="77777777" w:rsidR="0010111B" w:rsidRPr="007E597A" w:rsidRDefault="0010111B" w:rsidP="0086652D">
            <w:pPr>
              <w:jc w:val="both"/>
              <w:rPr>
                <w:rFonts w:ascii="Verdana" w:hAnsi="Verdana" w:cs="Arial"/>
                <w:bCs/>
                <w:i/>
                <w:iCs/>
                <w:sz w:val="22"/>
                <w:szCs w:val="22"/>
                <w:lang w:val="es-CO"/>
              </w:rPr>
            </w:pPr>
          </w:p>
          <w:p w14:paraId="7F5B9906" w14:textId="77777777" w:rsidR="0010111B" w:rsidRPr="007E597A" w:rsidRDefault="0010111B" w:rsidP="0086652D">
            <w:pPr>
              <w:jc w:val="both"/>
              <w:rPr>
                <w:rFonts w:ascii="Verdana" w:hAnsi="Verdana" w:cs="Arial"/>
                <w:bCs/>
                <w:i/>
                <w:iCs/>
                <w:sz w:val="22"/>
                <w:szCs w:val="22"/>
                <w:lang w:val="es-CO"/>
              </w:rPr>
            </w:pPr>
          </w:p>
          <w:p w14:paraId="780A7BE8" w14:textId="77777777" w:rsidR="00693E57" w:rsidRPr="007E597A" w:rsidRDefault="00693E57" w:rsidP="0010111B">
            <w:pPr>
              <w:numPr>
                <w:ilvl w:val="1"/>
                <w:numId w:val="30"/>
              </w:numPr>
              <w:jc w:val="both"/>
              <w:rPr>
                <w:rFonts w:ascii="Verdana" w:hAnsi="Verdana" w:cs="Arial"/>
                <w:bCs/>
                <w:i/>
                <w:iCs/>
                <w:sz w:val="22"/>
                <w:szCs w:val="22"/>
                <w:lang w:val="es-CO"/>
              </w:rPr>
            </w:pPr>
            <w:r w:rsidRPr="007E597A">
              <w:rPr>
                <w:rFonts w:ascii="Verdana" w:hAnsi="Verdana" w:cs="Arial"/>
                <w:bCs/>
                <w:i/>
                <w:iCs/>
                <w:sz w:val="22"/>
                <w:szCs w:val="22"/>
                <w:lang w:val="es-CO"/>
              </w:rPr>
              <w:t>Fortalecimiento de la confianza en el sistema financiero</w:t>
            </w:r>
            <w:r w:rsidR="0010111B" w:rsidRPr="007E597A">
              <w:rPr>
                <w:rFonts w:ascii="Verdana" w:hAnsi="Verdana" w:cs="Arial"/>
                <w:bCs/>
                <w:i/>
                <w:iCs/>
                <w:sz w:val="22"/>
                <w:szCs w:val="22"/>
                <w:lang w:val="es-CO"/>
              </w:rPr>
              <w:t xml:space="preserve"> </w:t>
            </w:r>
          </w:p>
          <w:p w14:paraId="45406672" w14:textId="77777777" w:rsidR="0010111B" w:rsidRPr="007E597A" w:rsidRDefault="0010111B" w:rsidP="0010111B">
            <w:pPr>
              <w:ind w:left="1080"/>
              <w:jc w:val="both"/>
              <w:rPr>
                <w:rFonts w:ascii="Verdana" w:hAnsi="Verdana" w:cs="Arial"/>
                <w:bCs/>
                <w:i/>
                <w:iCs/>
                <w:sz w:val="22"/>
                <w:szCs w:val="22"/>
                <w:lang w:val="es-CO"/>
              </w:rPr>
            </w:pPr>
          </w:p>
          <w:p w14:paraId="6C5CAC20" w14:textId="34F140A8"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Aunque no constituye un efecto directo ni automático de la medida, una gestión más efectiva</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del riesgo de conductas podría contribuir al fortalecimiento de la confianza de los consumidores</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e inversionistas en las entidades vigiladas y en el funcionamiento de los mercados financieros.</w:t>
            </w:r>
          </w:p>
          <w:p w14:paraId="3A4443A2" w14:textId="77777777" w:rsidR="0010111B" w:rsidRPr="007E597A" w:rsidRDefault="0010111B" w:rsidP="00345F4B">
            <w:pPr>
              <w:ind w:left="498"/>
              <w:jc w:val="both"/>
              <w:rPr>
                <w:rFonts w:ascii="Verdana" w:hAnsi="Verdana" w:cs="Arial"/>
                <w:bCs/>
                <w:i/>
                <w:iCs/>
                <w:sz w:val="22"/>
                <w:szCs w:val="22"/>
                <w:lang w:val="es-CO"/>
              </w:rPr>
            </w:pPr>
          </w:p>
          <w:p w14:paraId="67E36901"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Asimismo, cuando las conductas inadecuadas tengan la capacidad de afectar simultáneamente</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 un número significativo de consumidores, extenderse a varias entidades o deteriorar la</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confianza general en el sistema, su identificación y gestión oportuna podría disminuir el riesgo</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 contagio reputacional. Sin embargo, este beneficio tendría un carácter indirecto y</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dependería de la naturaleza, alcance y potencial de propagación de las conductas</w:t>
            </w:r>
            <w:r w:rsidR="0010111B"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identificadas.</w:t>
            </w:r>
          </w:p>
          <w:p w14:paraId="1A402C53" w14:textId="77777777" w:rsidR="0010111B" w:rsidRPr="007E597A" w:rsidRDefault="0010111B" w:rsidP="0086652D">
            <w:pPr>
              <w:jc w:val="both"/>
              <w:rPr>
                <w:rFonts w:ascii="Verdana" w:hAnsi="Verdana" w:cs="Arial"/>
                <w:bCs/>
                <w:i/>
                <w:iCs/>
                <w:sz w:val="22"/>
                <w:szCs w:val="22"/>
                <w:lang w:val="es-CO"/>
              </w:rPr>
            </w:pPr>
          </w:p>
          <w:p w14:paraId="2AF12147" w14:textId="77777777" w:rsidR="00693E57" w:rsidRPr="007E597A" w:rsidRDefault="00693E57" w:rsidP="0010111B">
            <w:pPr>
              <w:numPr>
                <w:ilvl w:val="0"/>
                <w:numId w:val="30"/>
              </w:numPr>
              <w:jc w:val="both"/>
              <w:rPr>
                <w:rFonts w:ascii="Verdana" w:hAnsi="Verdana" w:cs="Arial"/>
                <w:b/>
                <w:bCs/>
                <w:i/>
                <w:iCs/>
                <w:sz w:val="22"/>
                <w:szCs w:val="22"/>
                <w:lang w:val="es-CO"/>
              </w:rPr>
            </w:pPr>
            <w:r w:rsidRPr="007E597A">
              <w:rPr>
                <w:rFonts w:ascii="Verdana" w:hAnsi="Verdana" w:cs="Arial"/>
                <w:b/>
                <w:bCs/>
                <w:i/>
                <w:iCs/>
                <w:sz w:val="22"/>
                <w:szCs w:val="22"/>
                <w:lang w:val="es-CO"/>
              </w:rPr>
              <w:t>Costos del GERCO</w:t>
            </w:r>
          </w:p>
          <w:p w14:paraId="7F967250" w14:textId="77777777" w:rsidR="0010111B" w:rsidRPr="007E597A" w:rsidRDefault="0010111B" w:rsidP="0010111B">
            <w:pPr>
              <w:ind w:left="720"/>
              <w:jc w:val="both"/>
              <w:rPr>
                <w:rFonts w:ascii="Verdana" w:hAnsi="Verdana" w:cs="Arial"/>
                <w:b/>
                <w:bCs/>
                <w:i/>
                <w:iCs/>
                <w:sz w:val="22"/>
                <w:szCs w:val="22"/>
                <w:lang w:val="es-CO"/>
              </w:rPr>
            </w:pPr>
          </w:p>
          <w:p w14:paraId="49AC58E1"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 implementación del GERCO implica costos administrativos, operativos, tecnológicos y de</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gobierno corporativo. Sin embargo, dichos costos no serán homogéneos debido al principio de</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proporcionalidad previsto en el proyecto regulatorio, el cual reconoce las diferencias existentes</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entre las entidades vigiladas.</w:t>
            </w:r>
          </w:p>
          <w:p w14:paraId="73DA8647" w14:textId="77777777" w:rsidR="00BE0916" w:rsidRPr="007E597A" w:rsidRDefault="00BE0916" w:rsidP="0086652D">
            <w:pPr>
              <w:jc w:val="both"/>
              <w:rPr>
                <w:rFonts w:ascii="Verdana" w:hAnsi="Verdana" w:cs="Arial"/>
                <w:bCs/>
                <w:i/>
                <w:iCs/>
                <w:sz w:val="22"/>
                <w:szCs w:val="22"/>
                <w:lang w:val="es-CO"/>
              </w:rPr>
            </w:pPr>
          </w:p>
          <w:p w14:paraId="215E4A21" w14:textId="77777777" w:rsidR="00693E57" w:rsidRPr="007E597A" w:rsidRDefault="00693E57" w:rsidP="005D05D5">
            <w:pPr>
              <w:ind w:left="708"/>
              <w:jc w:val="both"/>
              <w:rPr>
                <w:rFonts w:ascii="Verdana" w:hAnsi="Verdana" w:cs="Arial"/>
                <w:bCs/>
                <w:i/>
                <w:iCs/>
                <w:sz w:val="22"/>
                <w:szCs w:val="22"/>
                <w:lang w:val="es-CO"/>
              </w:rPr>
            </w:pPr>
            <w:r w:rsidRPr="007E597A">
              <w:rPr>
                <w:rFonts w:ascii="Verdana" w:hAnsi="Verdana" w:cs="Arial"/>
                <w:bCs/>
                <w:i/>
                <w:iCs/>
                <w:sz w:val="22"/>
                <w:szCs w:val="22"/>
                <w:lang w:val="es-CO"/>
              </w:rPr>
              <w:t>2.1. Costos asociados a la implementación del GERCO</w:t>
            </w:r>
          </w:p>
          <w:p w14:paraId="394EA30A" w14:textId="77777777" w:rsidR="00BE0916" w:rsidRPr="007E597A" w:rsidRDefault="00BE0916" w:rsidP="0086652D">
            <w:pPr>
              <w:jc w:val="both"/>
              <w:rPr>
                <w:rFonts w:ascii="Verdana" w:hAnsi="Verdana" w:cs="Arial"/>
                <w:bCs/>
                <w:i/>
                <w:iCs/>
                <w:sz w:val="22"/>
                <w:szCs w:val="22"/>
                <w:lang w:val="es-CO"/>
              </w:rPr>
            </w:pPr>
          </w:p>
          <w:p w14:paraId="18D18250"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Las entidades vigiladas deberán asumir los costos asociados con el diseño, implementación y</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 xml:space="preserve">funcionamiento del GERCO dentro de los plazos establecidos en el proyecto normativo. </w:t>
            </w:r>
            <w:r w:rsidRPr="007E597A">
              <w:rPr>
                <w:rFonts w:ascii="Verdana" w:hAnsi="Verdana" w:cs="Arial"/>
                <w:bCs/>
                <w:i/>
                <w:iCs/>
                <w:sz w:val="22"/>
                <w:szCs w:val="22"/>
                <w:lang w:val="es-CO"/>
              </w:rPr>
              <w:lastRenderedPageBreak/>
              <w:t>Estos</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costos comprenden la definición o adecuación de procedimientos para identificar, evaluar,</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controlar, monitorear, registrar y comunicar los riesgos de conductas, de acuerdo con la</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naturaleza, tamaño, complejidad, modelo de negocio y nivel de madurez de cada entidad.</w:t>
            </w:r>
          </w:p>
          <w:p w14:paraId="3880FC12" w14:textId="77777777" w:rsidR="00BE0916" w:rsidRPr="007E597A" w:rsidRDefault="00BE0916" w:rsidP="00345F4B">
            <w:pPr>
              <w:ind w:left="498"/>
              <w:jc w:val="both"/>
              <w:rPr>
                <w:rFonts w:ascii="Verdana" w:hAnsi="Verdana" w:cs="Arial"/>
                <w:bCs/>
                <w:i/>
                <w:iCs/>
                <w:sz w:val="22"/>
                <w:szCs w:val="22"/>
                <w:lang w:val="es-CO"/>
              </w:rPr>
            </w:pPr>
          </w:p>
          <w:p w14:paraId="4753238B"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Dependiendo de las capacidades y herramientas disponibles, las entidades podrían requerir el</w:t>
            </w:r>
            <w:r w:rsidR="00BE0916"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desarrollo, adquisición o adaptación de soluciones tecnológicas para la gestión del riesgo.</w:t>
            </w:r>
          </w:p>
          <w:p w14:paraId="5B875FA4" w14:textId="77777777" w:rsidR="00BE0916" w:rsidRPr="007E597A" w:rsidRDefault="00BE0916" w:rsidP="00345F4B">
            <w:pPr>
              <w:ind w:left="498"/>
              <w:jc w:val="both"/>
              <w:rPr>
                <w:rFonts w:ascii="Verdana" w:hAnsi="Verdana" w:cs="Arial"/>
                <w:bCs/>
                <w:i/>
                <w:iCs/>
                <w:sz w:val="22"/>
                <w:szCs w:val="22"/>
                <w:lang w:val="es-CO"/>
              </w:rPr>
            </w:pPr>
          </w:p>
          <w:p w14:paraId="736CEFBD"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Estas herramientas deberán permitir, entre otros aspectos, consolidar indicadores, métricas y</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señales de alerta; elaborar reportes; mantener un registro permanente de los eventos de riesgo</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identificados o materializados; y soportar el monitoreo continuo del GERCO. No obstante, las</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entidades podrán aprovechar los sistemas y mecanismos de control existentes, siempre que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estos permitan atender adecuadamente las obligaciones previstas en la regulación.</w:t>
            </w:r>
          </w:p>
          <w:p w14:paraId="35362BB5" w14:textId="77777777" w:rsidR="00E8292C" w:rsidRPr="007E597A" w:rsidRDefault="00E8292C" w:rsidP="00345F4B">
            <w:pPr>
              <w:ind w:left="498"/>
              <w:jc w:val="both"/>
              <w:rPr>
                <w:rFonts w:ascii="Verdana" w:hAnsi="Verdana" w:cs="Arial"/>
                <w:bCs/>
                <w:i/>
                <w:iCs/>
                <w:sz w:val="22"/>
                <w:szCs w:val="22"/>
                <w:lang w:val="es-CO"/>
              </w:rPr>
            </w:pPr>
          </w:p>
          <w:p w14:paraId="41A693BC" w14:textId="1DCF76C8"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Asimismo, podría ser necesario diseñar o ajustar las metodologías utilizadas para identificar,</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evaluar y clasificar los riesgos de conductas, así como establecer criterios de probabilidad,</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impacto, criticidad y causa raíz. Estas adecuaciones pueden requerir modificaciones en los</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manuales, políticas, estructuras de gobierno, líneas de reporte y responsabilidades de las áreas</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de riesgos, cumplimiento, protección al consumidor, auditoría, tecnología, jurídica y comercial.</w:t>
            </w:r>
          </w:p>
          <w:p w14:paraId="2E7E7AA0" w14:textId="77777777" w:rsidR="00E8292C" w:rsidRPr="007E597A" w:rsidRDefault="00E8292C" w:rsidP="00345F4B">
            <w:pPr>
              <w:ind w:left="498"/>
              <w:jc w:val="both"/>
              <w:rPr>
                <w:rFonts w:ascii="Verdana" w:hAnsi="Verdana" w:cs="Arial"/>
                <w:bCs/>
                <w:i/>
                <w:iCs/>
                <w:sz w:val="22"/>
                <w:szCs w:val="22"/>
                <w:lang w:val="es-CO"/>
              </w:rPr>
            </w:pPr>
          </w:p>
          <w:p w14:paraId="4533121C"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Adicionalmente, la implementación del GERCO requiere su articulación con el sistema 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control interno y con los demás sistemas de administración de riesgos, lo que puede implicar</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ajustes en las metodologías, políticas, controles, mecanismos de escalamiento y esquemas 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reporte existentes.</w:t>
            </w:r>
          </w:p>
          <w:p w14:paraId="534A88AC" w14:textId="77777777" w:rsidR="00E8292C" w:rsidRPr="007E597A" w:rsidRDefault="00E8292C" w:rsidP="00345F4B">
            <w:pPr>
              <w:ind w:left="498"/>
              <w:jc w:val="both"/>
              <w:rPr>
                <w:rFonts w:ascii="Verdana" w:hAnsi="Verdana" w:cs="Arial"/>
                <w:bCs/>
                <w:i/>
                <w:iCs/>
                <w:sz w:val="22"/>
                <w:szCs w:val="22"/>
                <w:lang w:val="es-CO"/>
              </w:rPr>
            </w:pPr>
          </w:p>
          <w:p w14:paraId="6D6A19C7"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Por otra parte, la gestión del riesgo de conductas puede requerir la consolidación 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información proveniente de distintas fuentes, entre ellas las peticiones, quejas y reclamos; las</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cancelaciones y devoluciones; las compensaciones a consumidores; los resultados 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auditoría; el desempeño de los productos y servicios; los esquemas de incentivos; la gestión 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terceros; y los incidentes relacionados con el tratamiento de datos personales.</w:t>
            </w:r>
          </w:p>
          <w:p w14:paraId="1A6BEBB2" w14:textId="77777777" w:rsidR="00E8292C" w:rsidRPr="007E597A" w:rsidRDefault="00E8292C" w:rsidP="00345F4B">
            <w:pPr>
              <w:ind w:left="498"/>
              <w:jc w:val="both"/>
              <w:rPr>
                <w:rFonts w:ascii="Verdana" w:hAnsi="Verdana" w:cs="Arial"/>
                <w:bCs/>
                <w:i/>
                <w:iCs/>
                <w:sz w:val="22"/>
                <w:szCs w:val="22"/>
                <w:lang w:val="es-CO"/>
              </w:rPr>
            </w:pPr>
          </w:p>
          <w:p w14:paraId="0FC8EE54" w14:textId="0FC1B165"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 integración, estandarización y depuración de estas fuentes de información puede</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representar un costo material, particularmente para las entidades que cuentan con sistemas</w:t>
            </w:r>
            <w:r w:rsidR="00E8292C"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fragmentados, múltiples líneas de negocio, un elevado número de productos y canales o una</w:t>
            </w:r>
            <w:r w:rsidR="00731414"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alta dependencia de terceros. Sin embargo, esta integración también podría generar eficiencias</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al permitir una visión consolidada de los riesgos, facilitar la identificación de patrones y reducir</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la duplicidad en la recopilación y análisis de información.</w:t>
            </w:r>
          </w:p>
          <w:p w14:paraId="2A6BD340" w14:textId="77777777" w:rsidR="00731414" w:rsidRPr="007E597A" w:rsidRDefault="00731414" w:rsidP="00345F4B">
            <w:pPr>
              <w:ind w:left="498"/>
              <w:jc w:val="both"/>
              <w:rPr>
                <w:rFonts w:ascii="Verdana" w:hAnsi="Verdana" w:cs="Arial"/>
                <w:bCs/>
                <w:i/>
                <w:iCs/>
                <w:sz w:val="22"/>
                <w:szCs w:val="22"/>
                <w:lang w:val="es-CO"/>
              </w:rPr>
            </w:pPr>
          </w:p>
          <w:p w14:paraId="7C8DB307" w14:textId="4100B707" w:rsidR="00C85A35" w:rsidRDefault="00693E57" w:rsidP="00C85A35">
            <w:pPr>
              <w:ind w:left="498"/>
              <w:jc w:val="both"/>
              <w:rPr>
                <w:rFonts w:ascii="Verdana" w:hAnsi="Verdana" w:cs="Arial"/>
                <w:bCs/>
                <w:i/>
                <w:iCs/>
                <w:sz w:val="22"/>
                <w:szCs w:val="22"/>
                <w:lang w:val="es-CO"/>
              </w:rPr>
            </w:pPr>
            <w:r w:rsidRPr="007E597A">
              <w:rPr>
                <w:rFonts w:ascii="Verdana" w:hAnsi="Verdana" w:cs="Arial"/>
                <w:bCs/>
                <w:i/>
                <w:iCs/>
                <w:sz w:val="22"/>
                <w:szCs w:val="22"/>
                <w:lang w:val="es-CO"/>
              </w:rPr>
              <w:t>Finalmente, las entidades deberán realizar una evaluación integral y periódica del GERCO, que</w:t>
            </w:r>
            <w:r w:rsidR="00C85A35">
              <w:rPr>
                <w:rFonts w:ascii="Verdana" w:hAnsi="Verdana" w:cs="Arial"/>
                <w:bCs/>
                <w:i/>
                <w:iCs/>
                <w:sz w:val="22"/>
                <w:szCs w:val="22"/>
                <w:lang w:val="es-CO"/>
              </w:rPr>
              <w:t xml:space="preserve"> </w:t>
            </w:r>
            <w:r w:rsidRPr="007E597A">
              <w:rPr>
                <w:rFonts w:ascii="Verdana" w:hAnsi="Verdana" w:cs="Arial"/>
                <w:bCs/>
                <w:i/>
                <w:iCs/>
                <w:sz w:val="22"/>
                <w:szCs w:val="22"/>
                <w:lang w:val="es-CO"/>
              </w:rPr>
              <w:t>incluya la revisión de sus políticas, procedimientos y controles, con el fin de valorar su</w:t>
            </w:r>
            <w:r w:rsidR="00731414"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efectividad, consistencia y capacidad de adaptación frente a los riesgos de conductas</w:t>
            </w:r>
            <w:r w:rsidR="00731414"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identificados.</w:t>
            </w:r>
          </w:p>
          <w:p w14:paraId="331A5784" w14:textId="77777777" w:rsidR="00C85A35" w:rsidRDefault="00C85A35" w:rsidP="00C85A35">
            <w:pPr>
              <w:ind w:left="498"/>
              <w:jc w:val="both"/>
              <w:rPr>
                <w:rFonts w:ascii="Verdana" w:hAnsi="Verdana" w:cs="Arial"/>
                <w:bCs/>
                <w:i/>
                <w:iCs/>
                <w:sz w:val="22"/>
                <w:szCs w:val="22"/>
                <w:lang w:val="es-CO"/>
              </w:rPr>
            </w:pPr>
          </w:p>
          <w:p w14:paraId="4CFD421E" w14:textId="7752D0AF" w:rsidR="00C85A35" w:rsidRPr="007E597A" w:rsidRDefault="00F01448" w:rsidP="00345F4B">
            <w:pPr>
              <w:ind w:left="498"/>
              <w:jc w:val="both"/>
              <w:rPr>
                <w:rFonts w:ascii="Verdana" w:hAnsi="Verdana" w:cs="Arial"/>
                <w:bCs/>
                <w:i/>
                <w:iCs/>
                <w:sz w:val="22"/>
                <w:szCs w:val="22"/>
                <w:lang w:val="es-CO"/>
              </w:rPr>
            </w:pPr>
            <w:r w:rsidRPr="00F01448">
              <w:rPr>
                <w:rFonts w:ascii="Verdana" w:hAnsi="Verdana" w:cs="Arial"/>
                <w:bCs/>
                <w:i/>
                <w:iCs/>
                <w:sz w:val="22"/>
                <w:szCs w:val="22"/>
              </w:rPr>
              <w:lastRenderedPageBreak/>
              <w:t>[</w:t>
            </w:r>
            <w:r>
              <w:rPr>
                <w:rFonts w:ascii="Verdana" w:hAnsi="Verdana" w:cs="Arial"/>
                <w:bCs/>
                <w:i/>
                <w:iCs/>
                <w:sz w:val="22"/>
                <w:szCs w:val="22"/>
              </w:rPr>
              <w:t>…</w:t>
            </w:r>
            <w:r w:rsidRPr="00F01448">
              <w:rPr>
                <w:rFonts w:ascii="Verdana" w:hAnsi="Verdana" w:cs="Arial"/>
                <w:bCs/>
                <w:i/>
                <w:iCs/>
                <w:sz w:val="22"/>
                <w:szCs w:val="22"/>
              </w:rPr>
              <w:t>]</w:t>
            </w:r>
          </w:p>
          <w:p w14:paraId="0758FDAA" w14:textId="77777777" w:rsidR="00731414" w:rsidRPr="007E597A" w:rsidRDefault="00731414" w:rsidP="00345F4B">
            <w:pPr>
              <w:ind w:left="498"/>
              <w:jc w:val="both"/>
              <w:rPr>
                <w:rFonts w:ascii="Verdana" w:hAnsi="Verdana" w:cs="Arial"/>
                <w:bCs/>
                <w:i/>
                <w:iCs/>
                <w:sz w:val="22"/>
                <w:szCs w:val="22"/>
                <w:lang w:val="es-CO"/>
              </w:rPr>
            </w:pPr>
          </w:p>
          <w:p w14:paraId="7C081F12" w14:textId="77777777" w:rsidR="00693E57" w:rsidRPr="007E597A" w:rsidRDefault="00693E57" w:rsidP="00345F4B">
            <w:pPr>
              <w:ind w:left="498"/>
              <w:jc w:val="both"/>
              <w:rPr>
                <w:rFonts w:ascii="Verdana" w:hAnsi="Verdana" w:cs="Arial"/>
                <w:b/>
                <w:bCs/>
                <w:i/>
                <w:iCs/>
                <w:sz w:val="22"/>
                <w:szCs w:val="22"/>
                <w:lang w:val="es-CO"/>
              </w:rPr>
            </w:pPr>
            <w:r w:rsidRPr="007E597A">
              <w:rPr>
                <w:rFonts w:ascii="Verdana" w:hAnsi="Verdana" w:cs="Arial"/>
                <w:b/>
                <w:bCs/>
                <w:i/>
                <w:iCs/>
                <w:sz w:val="22"/>
                <w:szCs w:val="22"/>
                <w:lang w:val="es-CO"/>
              </w:rPr>
              <w:t>3. Mecanismos para mitigar costos y riesgos de implementación</w:t>
            </w:r>
          </w:p>
          <w:p w14:paraId="5E9CFE35" w14:textId="77777777" w:rsidR="00731414" w:rsidRPr="007E597A" w:rsidRDefault="00731414" w:rsidP="00345F4B">
            <w:pPr>
              <w:ind w:left="498"/>
              <w:jc w:val="both"/>
              <w:rPr>
                <w:rFonts w:ascii="Verdana" w:hAnsi="Verdana" w:cs="Arial"/>
                <w:bCs/>
                <w:i/>
                <w:iCs/>
                <w:sz w:val="22"/>
                <w:szCs w:val="22"/>
                <w:lang w:val="es-CO"/>
              </w:rPr>
            </w:pPr>
          </w:p>
          <w:p w14:paraId="47D11D15"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El PCE incorpora elementos orientados a facilitar una implementación ordenada, gradual y</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sostenible, que reconocen las diferencias en las capacidades operativas y tecnológicas de las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entidades vigiladas y buscan mitigar la carga económica derivada de su adopción.</w:t>
            </w:r>
          </w:p>
          <w:p w14:paraId="3C5582B3" w14:textId="77777777" w:rsidR="00C83DE1" w:rsidRPr="007E597A" w:rsidRDefault="00C83DE1" w:rsidP="00345F4B">
            <w:pPr>
              <w:ind w:left="498"/>
              <w:jc w:val="both"/>
              <w:rPr>
                <w:rFonts w:ascii="Verdana" w:hAnsi="Verdana" w:cs="Arial"/>
                <w:bCs/>
                <w:i/>
                <w:iCs/>
                <w:sz w:val="22"/>
                <w:szCs w:val="22"/>
                <w:lang w:val="es-CO"/>
              </w:rPr>
            </w:pPr>
          </w:p>
          <w:p w14:paraId="3783DF39"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primer lugar, el PCE adopta un enfoque de proporcionalidad que ajusta las exigencias a la</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naturaleza, tamaño, complejidad, modelo de negocio, perfil de riesgo y nivel de madurez de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cada entidad, evitando cargas operativas innecesarias para las de menor tamaño o</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complejidad.</w:t>
            </w:r>
          </w:p>
          <w:p w14:paraId="59177183" w14:textId="77777777" w:rsidR="00C83DE1" w:rsidRPr="007E597A" w:rsidRDefault="00C83DE1" w:rsidP="00345F4B">
            <w:pPr>
              <w:ind w:left="498"/>
              <w:jc w:val="both"/>
              <w:rPr>
                <w:rFonts w:ascii="Verdana" w:hAnsi="Verdana" w:cs="Arial"/>
                <w:bCs/>
                <w:i/>
                <w:iCs/>
                <w:sz w:val="22"/>
                <w:szCs w:val="22"/>
                <w:lang w:val="es-CO"/>
              </w:rPr>
            </w:pPr>
          </w:p>
          <w:p w14:paraId="7B914C73" w14:textId="431CD888"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segundo lugar, el proyecto permite articular el GERCO con el sistema de control interno y</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con los esquemas de control interno existentes. Esta articulación permitirá aprovechar</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procesos, canales de información, registros, metodologías y herramientas tecnológicas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existentes, disminuyendo la necesidad de desarrollar estructuras paralelas. De esta manera, se</w:t>
            </w:r>
            <w:r w:rsidR="007D1B4C">
              <w:rPr>
                <w:rFonts w:ascii="Verdana" w:hAnsi="Verdana" w:cs="Arial"/>
                <w:bCs/>
                <w:i/>
                <w:iCs/>
                <w:sz w:val="22"/>
                <w:szCs w:val="22"/>
                <w:lang w:val="es-CO"/>
              </w:rPr>
              <w:t xml:space="preserve"> </w:t>
            </w:r>
            <w:r w:rsidRPr="007E597A">
              <w:rPr>
                <w:rFonts w:ascii="Verdana" w:hAnsi="Verdana" w:cs="Arial"/>
                <w:bCs/>
                <w:i/>
                <w:iCs/>
                <w:sz w:val="22"/>
                <w:szCs w:val="22"/>
                <w:lang w:val="es-CO"/>
              </w:rPr>
              <w:t>podrían evitar duplicidades y cargas operativas innecesarias, y optimizar el uso de los recursos</w:t>
            </w:r>
            <w:r w:rsidR="007D1B4C">
              <w:rPr>
                <w:rFonts w:ascii="Verdana" w:hAnsi="Verdana" w:cs="Arial"/>
                <w:bCs/>
                <w:i/>
                <w:iCs/>
                <w:sz w:val="22"/>
                <w:szCs w:val="22"/>
                <w:lang w:val="es-CO"/>
              </w:rPr>
              <w:t xml:space="preserve"> </w:t>
            </w:r>
            <w:r w:rsidRPr="007E597A">
              <w:rPr>
                <w:rFonts w:ascii="Verdana" w:hAnsi="Verdana" w:cs="Arial"/>
                <w:bCs/>
                <w:i/>
                <w:iCs/>
                <w:sz w:val="22"/>
                <w:szCs w:val="22"/>
                <w:lang w:val="es-CO"/>
              </w:rPr>
              <w:t>humanos, tecnológicos y organizacionales.</w:t>
            </w:r>
          </w:p>
          <w:p w14:paraId="102ECFD1" w14:textId="77777777" w:rsidR="00C83DE1" w:rsidRPr="007E597A" w:rsidRDefault="00C83DE1" w:rsidP="00345F4B">
            <w:pPr>
              <w:ind w:left="498"/>
              <w:jc w:val="both"/>
              <w:rPr>
                <w:rFonts w:ascii="Verdana" w:hAnsi="Verdana" w:cs="Arial"/>
                <w:bCs/>
                <w:i/>
                <w:iCs/>
                <w:sz w:val="22"/>
                <w:szCs w:val="22"/>
                <w:lang w:val="es-CO"/>
              </w:rPr>
            </w:pPr>
          </w:p>
          <w:p w14:paraId="6EE73819"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tercer lugar, el proyecto incorpora un régimen de transición escalonado de seis, doce y</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dieciocho meses, que permite distribuir los costos de implementación en el tiempo, facilita la</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planeación presupuestal de las entidades vigiladas y reduce los riesgos asociados a los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procesos de adaptación.</w:t>
            </w:r>
          </w:p>
          <w:p w14:paraId="3760199C" w14:textId="77777777" w:rsidR="00C83DE1" w:rsidRPr="007E597A" w:rsidRDefault="00C83DE1" w:rsidP="00345F4B">
            <w:pPr>
              <w:ind w:left="498"/>
              <w:jc w:val="both"/>
              <w:rPr>
                <w:rFonts w:ascii="Verdana" w:hAnsi="Verdana" w:cs="Arial"/>
                <w:bCs/>
                <w:i/>
                <w:iCs/>
                <w:sz w:val="22"/>
                <w:szCs w:val="22"/>
                <w:lang w:val="es-CO"/>
              </w:rPr>
            </w:pPr>
          </w:p>
          <w:p w14:paraId="7CC33954" w14:textId="77777777" w:rsidR="00693E57" w:rsidRPr="007E597A" w:rsidRDefault="00693E57" w:rsidP="00345F4B">
            <w:pPr>
              <w:ind w:left="498"/>
              <w:jc w:val="both"/>
              <w:rPr>
                <w:rFonts w:ascii="Verdana" w:hAnsi="Verdana" w:cs="Arial"/>
                <w:b/>
                <w:bCs/>
                <w:i/>
                <w:iCs/>
                <w:sz w:val="22"/>
                <w:szCs w:val="22"/>
                <w:lang w:val="es-CO"/>
              </w:rPr>
            </w:pPr>
            <w:r w:rsidRPr="007E597A">
              <w:rPr>
                <w:rFonts w:ascii="Verdana" w:hAnsi="Verdana" w:cs="Arial"/>
                <w:b/>
                <w:bCs/>
                <w:i/>
                <w:iCs/>
                <w:sz w:val="22"/>
                <w:szCs w:val="22"/>
                <w:lang w:val="es-CO"/>
              </w:rPr>
              <w:t>4. Conclusiones</w:t>
            </w:r>
          </w:p>
          <w:p w14:paraId="687B4C8A" w14:textId="77777777" w:rsidR="00C83DE1" w:rsidRPr="007E597A" w:rsidRDefault="00C83DE1" w:rsidP="00345F4B">
            <w:pPr>
              <w:ind w:left="498"/>
              <w:jc w:val="both"/>
              <w:rPr>
                <w:rFonts w:ascii="Verdana" w:hAnsi="Verdana" w:cs="Arial"/>
                <w:bCs/>
                <w:i/>
                <w:iCs/>
                <w:sz w:val="22"/>
                <w:szCs w:val="22"/>
                <w:lang w:val="es-CO"/>
              </w:rPr>
            </w:pPr>
          </w:p>
          <w:p w14:paraId="5D34423E"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Los principales beneficios esperados de la implementación del GERCO se relacionan con el</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fortalecimiento de la prevención de afectaciones a los consumidores financieros, la mejora del</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diseño y comercialización de productos, la alineación de los esquemas de incentivos, el</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fortalecimiento del gobierno corporativo y una mayor trazabilidad de los eventos de conducta.</w:t>
            </w:r>
          </w:p>
          <w:p w14:paraId="38DE24E2" w14:textId="77777777" w:rsidR="00C83DE1" w:rsidRPr="007E597A" w:rsidRDefault="00C83DE1" w:rsidP="00345F4B">
            <w:pPr>
              <w:ind w:left="498"/>
              <w:jc w:val="both"/>
              <w:rPr>
                <w:rFonts w:ascii="Verdana" w:hAnsi="Verdana" w:cs="Arial"/>
                <w:bCs/>
                <w:i/>
                <w:iCs/>
                <w:sz w:val="22"/>
                <w:szCs w:val="22"/>
                <w:lang w:val="es-CO"/>
              </w:rPr>
            </w:pPr>
          </w:p>
          <w:p w14:paraId="3D39BC35"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Estos elementos podrían contribuir a reducir la exposición a reclamaciones, reprocesos,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compensaciones, controversias judiciales, sanciones y pérdidas reputacionales.</w:t>
            </w:r>
          </w:p>
          <w:p w14:paraId="6AF60961" w14:textId="77777777" w:rsidR="00C83DE1" w:rsidRPr="007E597A" w:rsidRDefault="00C83DE1" w:rsidP="00345F4B">
            <w:pPr>
              <w:ind w:left="498"/>
              <w:jc w:val="both"/>
              <w:rPr>
                <w:rFonts w:ascii="Verdana" w:hAnsi="Verdana" w:cs="Arial"/>
                <w:bCs/>
                <w:i/>
                <w:iCs/>
                <w:sz w:val="22"/>
                <w:szCs w:val="22"/>
                <w:lang w:val="es-CO"/>
              </w:rPr>
            </w:pPr>
          </w:p>
          <w:p w14:paraId="7BD2BD0E"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Por otro lado, la implementación del GERCO generará costos administrativos, operativos,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tecnológicos y de gobierno corporativo para las entidades vigiladas. Estos costos estarán</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asociados principalmente con la adecuación de metodologías, políticas y procedimientos; el</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desarrollo o ajuste de herramientas tecnológicas; la integración de diferentes fuentes de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información; la capacitación y asignación de personal; y la participación de la alta dirección, la</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junta directiva y la auditoría interna en su seguimiento y supervisión.</w:t>
            </w:r>
          </w:p>
          <w:p w14:paraId="5EABB4CD" w14:textId="77777777" w:rsidR="00C83DE1" w:rsidRPr="007E597A" w:rsidRDefault="00C83DE1" w:rsidP="00345F4B">
            <w:pPr>
              <w:ind w:left="498"/>
              <w:jc w:val="both"/>
              <w:rPr>
                <w:rFonts w:ascii="Verdana" w:hAnsi="Verdana" w:cs="Arial"/>
                <w:bCs/>
                <w:i/>
                <w:iCs/>
                <w:sz w:val="22"/>
                <w:szCs w:val="22"/>
                <w:lang w:val="es-CO"/>
              </w:rPr>
            </w:pPr>
          </w:p>
          <w:p w14:paraId="7C43F9E8"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La magnitud de estos costos no será homogénea, dado que dependerá de la naturaleza,</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tamaño, complejidad, modelo de negocio, productos, servicios, canales, estructura y nivel de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madurez de cada entidad. En este sentido, la aplicación efectiva del principio de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 xml:space="preserve">proporcionalidad será determinante para evitar cargas operativas innecesarias, </w:t>
            </w:r>
            <w:r w:rsidRPr="007E597A">
              <w:rPr>
                <w:rFonts w:ascii="Verdana" w:hAnsi="Verdana" w:cs="Arial"/>
                <w:bCs/>
                <w:i/>
                <w:iCs/>
                <w:sz w:val="22"/>
                <w:szCs w:val="22"/>
                <w:lang w:val="es-CO"/>
              </w:rPr>
              <w:lastRenderedPageBreak/>
              <w:t>especialmente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para las entidades de menor tamaño o complejidad.</w:t>
            </w:r>
          </w:p>
          <w:p w14:paraId="56D72687" w14:textId="77777777" w:rsidR="00C83DE1" w:rsidRPr="007E597A" w:rsidRDefault="00C83DE1" w:rsidP="00345F4B">
            <w:pPr>
              <w:ind w:left="498"/>
              <w:jc w:val="both"/>
              <w:rPr>
                <w:rFonts w:ascii="Verdana" w:hAnsi="Verdana" w:cs="Arial"/>
                <w:bCs/>
                <w:i/>
                <w:iCs/>
                <w:sz w:val="22"/>
                <w:szCs w:val="22"/>
                <w:lang w:val="es-CO"/>
              </w:rPr>
            </w:pPr>
          </w:p>
          <w:p w14:paraId="16EDDC97" w14:textId="77777777" w:rsidR="00693E57" w:rsidRPr="007E597A"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Asimismo, la articulación del GERCO con el sistema de control interno y con los demás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sistemas, procesos y programas existentes permitirá aprovechar capacidades previamente</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desarrolladas, evitar duplicidades y reducir la necesidad de crear estructuras paralelas. A lo</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anterior se suma el régimen de transición previsto en el proyecto, el cual permitirá distribuir los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costos y las actividades de implementación en el tiempo.</w:t>
            </w:r>
          </w:p>
          <w:p w14:paraId="3E3454A3" w14:textId="77777777" w:rsidR="00C83DE1" w:rsidRPr="007E597A" w:rsidRDefault="00C83DE1" w:rsidP="00345F4B">
            <w:pPr>
              <w:ind w:left="498"/>
              <w:jc w:val="both"/>
              <w:rPr>
                <w:rFonts w:ascii="Verdana" w:hAnsi="Verdana" w:cs="Arial"/>
                <w:bCs/>
                <w:i/>
                <w:iCs/>
                <w:sz w:val="22"/>
                <w:szCs w:val="22"/>
                <w:lang w:val="es-CO"/>
              </w:rPr>
            </w:pPr>
          </w:p>
          <w:p w14:paraId="789FCB80" w14:textId="77777777" w:rsidR="007E597A" w:rsidRPr="00D976E7" w:rsidRDefault="00693E57" w:rsidP="00345F4B">
            <w:pPr>
              <w:ind w:left="498"/>
              <w:jc w:val="both"/>
              <w:rPr>
                <w:rFonts w:ascii="Verdana" w:hAnsi="Verdana" w:cs="Arial"/>
                <w:bCs/>
                <w:i/>
                <w:iCs/>
                <w:sz w:val="22"/>
                <w:szCs w:val="22"/>
                <w:lang w:val="es-CO"/>
              </w:rPr>
            </w:pPr>
            <w:r w:rsidRPr="007E597A">
              <w:rPr>
                <w:rFonts w:ascii="Verdana" w:hAnsi="Verdana" w:cs="Arial"/>
                <w:bCs/>
                <w:i/>
                <w:iCs/>
                <w:sz w:val="22"/>
                <w:szCs w:val="22"/>
                <w:lang w:val="es-CO"/>
              </w:rPr>
              <w:t>En términos cualitativos, se espera que los beneficios derivados de una gestión más preventiva</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y estructurada del riesgo de conductas puedan compensar progresivamente los costos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asociados con la adopción de la medida. No obstante, la materialización de estos beneficios</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dependerá de que el GERCO se integre efectivamente en la cultura, el gobierno corporativo, el</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diseño de productos y las decisiones comerciales de las entidades, y no se limite a un ejercicio</w:t>
            </w:r>
            <w:r w:rsidR="00C83DE1" w:rsidRPr="007E597A">
              <w:rPr>
                <w:rFonts w:ascii="Verdana" w:hAnsi="Verdana" w:cs="Arial"/>
                <w:bCs/>
                <w:i/>
                <w:iCs/>
                <w:sz w:val="22"/>
                <w:szCs w:val="22"/>
                <w:lang w:val="es-CO"/>
              </w:rPr>
              <w:t xml:space="preserve"> </w:t>
            </w:r>
            <w:r w:rsidRPr="007E597A">
              <w:rPr>
                <w:rFonts w:ascii="Verdana" w:hAnsi="Verdana" w:cs="Arial"/>
                <w:bCs/>
                <w:i/>
                <w:iCs/>
                <w:sz w:val="22"/>
                <w:szCs w:val="22"/>
                <w:lang w:val="es-CO"/>
              </w:rPr>
              <w:t xml:space="preserve">formal o documental de </w:t>
            </w:r>
            <w:r w:rsidR="00C83DE1" w:rsidRPr="007E597A">
              <w:rPr>
                <w:rFonts w:ascii="Verdana" w:hAnsi="Verdana" w:cs="Arial"/>
                <w:bCs/>
                <w:i/>
                <w:iCs/>
                <w:sz w:val="22"/>
                <w:szCs w:val="22"/>
                <w:lang w:val="es-CO"/>
              </w:rPr>
              <w:t>c</w:t>
            </w:r>
            <w:r w:rsidRPr="007E597A">
              <w:rPr>
                <w:rFonts w:ascii="Verdana" w:hAnsi="Verdana" w:cs="Arial"/>
                <w:bCs/>
                <w:i/>
                <w:iCs/>
                <w:sz w:val="22"/>
                <w:szCs w:val="22"/>
                <w:lang w:val="es-CO"/>
              </w:rPr>
              <w:t>umplimiento</w:t>
            </w:r>
            <w:r w:rsidR="007E597A" w:rsidRPr="00D976E7">
              <w:rPr>
                <w:rFonts w:ascii="Verdana" w:hAnsi="Verdana" w:cs="Arial"/>
                <w:bCs/>
                <w:i/>
                <w:iCs/>
                <w:sz w:val="22"/>
                <w:szCs w:val="22"/>
                <w:lang w:val="es-CO"/>
              </w:rPr>
              <w:t>.»</w:t>
            </w:r>
          </w:p>
          <w:p w14:paraId="254EE8FC" w14:textId="77777777" w:rsidR="00C83DE1" w:rsidRPr="007E597A" w:rsidRDefault="00C83DE1" w:rsidP="00D976E7">
            <w:pPr>
              <w:jc w:val="both"/>
              <w:rPr>
                <w:rFonts w:ascii="Verdana" w:hAnsi="Verdana" w:cs="Arial"/>
                <w:bCs/>
                <w:i/>
                <w:iCs/>
                <w:sz w:val="22"/>
                <w:szCs w:val="22"/>
                <w:lang w:val="es-CO"/>
              </w:rPr>
            </w:pPr>
          </w:p>
          <w:p w14:paraId="5F4CCC35" w14:textId="77777777" w:rsidR="00C75983" w:rsidRPr="007E597A" w:rsidRDefault="00693E57" w:rsidP="00C83DE1">
            <w:pPr>
              <w:jc w:val="both"/>
              <w:rPr>
                <w:rFonts w:ascii="Verdana" w:hAnsi="Verdana" w:cs="Arial"/>
                <w:i/>
                <w:iCs/>
                <w:sz w:val="22"/>
                <w:szCs w:val="22"/>
                <w:lang w:val="es-CO"/>
              </w:rPr>
            </w:pPr>
            <w:r w:rsidRPr="007E597A">
              <w:rPr>
                <w:rFonts w:ascii="Verdana" w:hAnsi="Verdana" w:cs="Arial"/>
                <w:bCs/>
                <w:i/>
                <w:iCs/>
                <w:sz w:val="22"/>
                <w:szCs w:val="22"/>
                <w:lang w:val="es-CO"/>
              </w:rPr>
              <w:t>____________________________________________________________________________</w:t>
            </w:r>
          </w:p>
        </w:tc>
      </w:tr>
      <w:tr w:rsidR="00DF60FD" w:rsidRPr="006710DB" w14:paraId="7550673F" w14:textId="77777777" w:rsidTr="0075705D">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600C357" w14:textId="77777777" w:rsidR="00843EFF" w:rsidRPr="006710DB" w:rsidRDefault="00843EFF" w:rsidP="00A161B9">
            <w:pPr>
              <w:rPr>
                <w:rFonts w:ascii="Verdana" w:hAnsi="Verdana" w:cs="Arial"/>
                <w:b/>
                <w:color w:val="000000"/>
                <w:sz w:val="22"/>
                <w:szCs w:val="22"/>
              </w:rPr>
            </w:pPr>
          </w:p>
          <w:p w14:paraId="2652CA68" w14:textId="77777777" w:rsidR="008106BF" w:rsidRPr="006710DB" w:rsidRDefault="00795C6B" w:rsidP="000D48E8">
            <w:pPr>
              <w:numPr>
                <w:ilvl w:val="0"/>
                <w:numId w:val="2"/>
              </w:numPr>
              <w:rPr>
                <w:rFonts w:ascii="Verdana" w:hAnsi="Verdana" w:cs="Arial"/>
                <w:b/>
                <w:color w:val="000000"/>
                <w:sz w:val="22"/>
                <w:szCs w:val="22"/>
              </w:rPr>
            </w:pPr>
            <w:r w:rsidRPr="006710DB">
              <w:rPr>
                <w:rFonts w:ascii="Verdana" w:hAnsi="Verdana" w:cs="Arial"/>
                <w:b/>
                <w:color w:val="000000"/>
                <w:sz w:val="22"/>
                <w:szCs w:val="22"/>
              </w:rPr>
              <w:t xml:space="preserve">VIABILIDAD O </w:t>
            </w:r>
            <w:r w:rsidR="00DF60FD" w:rsidRPr="006710DB">
              <w:rPr>
                <w:rFonts w:ascii="Verdana" w:hAnsi="Verdana" w:cs="Arial"/>
                <w:b/>
                <w:color w:val="000000"/>
                <w:sz w:val="22"/>
                <w:szCs w:val="22"/>
              </w:rPr>
              <w:t xml:space="preserve">DISPONIBILIDAD PRESUPUESTAL </w:t>
            </w:r>
          </w:p>
          <w:p w14:paraId="512BBD8A" w14:textId="77777777" w:rsidR="008106BF" w:rsidRPr="006710DB" w:rsidRDefault="008106BF" w:rsidP="008106BF">
            <w:pPr>
              <w:ind w:left="720"/>
              <w:rPr>
                <w:rFonts w:ascii="Verdana" w:hAnsi="Verdana" w:cs="Arial"/>
                <w:b/>
                <w:color w:val="000000"/>
                <w:sz w:val="22"/>
                <w:szCs w:val="22"/>
              </w:rPr>
            </w:pPr>
          </w:p>
          <w:p w14:paraId="16133519" w14:textId="77777777" w:rsidR="0084097A" w:rsidRPr="006710DB" w:rsidRDefault="0084097A" w:rsidP="00665D91">
            <w:pPr>
              <w:jc w:val="both"/>
              <w:rPr>
                <w:rFonts w:ascii="Verdana" w:hAnsi="Verdana"/>
                <w:sz w:val="22"/>
                <w:szCs w:val="22"/>
                <w:lang w:val="es-CO" w:eastAsia="es-CO"/>
              </w:rPr>
            </w:pPr>
          </w:p>
          <w:p w14:paraId="79E8AB03" w14:textId="77777777" w:rsidR="0084097A" w:rsidRPr="006710DB" w:rsidRDefault="0084097A" w:rsidP="0084097A">
            <w:pPr>
              <w:jc w:val="both"/>
              <w:rPr>
                <w:rFonts w:ascii="Verdana" w:hAnsi="Verdana"/>
                <w:sz w:val="22"/>
                <w:szCs w:val="22"/>
                <w:lang w:val="es-CO" w:eastAsia="es-CO"/>
              </w:rPr>
            </w:pPr>
            <w:r w:rsidRPr="006710DB">
              <w:rPr>
                <w:rFonts w:ascii="Verdana" w:hAnsi="Verdana"/>
                <w:sz w:val="22"/>
                <w:szCs w:val="22"/>
                <w:lang w:val="es-CO" w:eastAsia="es-CO"/>
              </w:rPr>
              <w:t xml:space="preserve">La implementación de las disposiciones previstas se realizará mediante el uso de las capacidades institucionales, operativas y tecnológicas existentes de la Entidad, en el marco de los recursos humanos, técnicos y presupuestales actualmente disponibles. Por lo anterior, se concluye que el proyecto normativo es viable desde el punto de vista presupuestal y no genera requerimientos adicionales de gasto para la Superintendencia Financiera de Colombia, tal como lo sostuvo la </w:t>
            </w:r>
            <w:r w:rsidRPr="006710DB">
              <w:rPr>
                <w:rFonts w:ascii="Verdana" w:hAnsi="Verdana" w:cs="Arial"/>
                <w:bCs/>
                <w:sz w:val="22"/>
                <w:szCs w:val="22"/>
              </w:rPr>
              <w:t xml:space="preserve">Subdirección Financiera de la SFC mediante concepto no. </w:t>
            </w:r>
            <w:r w:rsidRPr="006710DB">
              <w:rPr>
                <w:rFonts w:ascii="Verdana" w:hAnsi="Verdana"/>
                <w:sz w:val="22"/>
                <w:szCs w:val="22"/>
                <w:lang w:val="es-CO" w:eastAsia="es-CO"/>
              </w:rPr>
              <w:t>2024111022-099</w:t>
            </w:r>
            <w:r w:rsidRPr="006710DB">
              <w:rPr>
                <w:rFonts w:ascii="Verdana" w:hAnsi="Verdana" w:cs="Arial"/>
                <w:bCs/>
                <w:sz w:val="22"/>
                <w:szCs w:val="22"/>
              </w:rPr>
              <w:t>, en el cual se indicó:</w:t>
            </w:r>
          </w:p>
          <w:p w14:paraId="6DF5955D" w14:textId="77777777" w:rsidR="0084097A" w:rsidRPr="006710DB" w:rsidRDefault="0084097A" w:rsidP="0084097A">
            <w:pPr>
              <w:jc w:val="both"/>
              <w:rPr>
                <w:rFonts w:ascii="Verdana" w:hAnsi="Verdana"/>
                <w:sz w:val="22"/>
                <w:szCs w:val="22"/>
                <w:lang w:val="es-CO" w:eastAsia="es-CO"/>
              </w:rPr>
            </w:pPr>
          </w:p>
          <w:p w14:paraId="016FF39F" w14:textId="77777777" w:rsidR="00C75983" w:rsidRPr="006710DB" w:rsidRDefault="0084097A" w:rsidP="00543462">
            <w:pPr>
              <w:ind w:left="709" w:right="579"/>
              <w:jc w:val="both"/>
              <w:rPr>
                <w:rFonts w:ascii="Verdana" w:hAnsi="Verdana"/>
                <w:sz w:val="22"/>
                <w:szCs w:val="22"/>
                <w:lang w:val="es-CO" w:eastAsia="es-CO"/>
              </w:rPr>
            </w:pPr>
            <w:r w:rsidRPr="006710DB">
              <w:rPr>
                <w:rFonts w:ascii="Verdana" w:hAnsi="Verdana" w:cs="Arial"/>
                <w:bCs/>
                <w:i/>
                <w:iCs/>
                <w:sz w:val="22"/>
                <w:szCs w:val="22"/>
              </w:rPr>
              <w:t>« (…)</w:t>
            </w:r>
            <w:r w:rsidRPr="006710DB">
              <w:rPr>
                <w:rFonts w:ascii="Verdana" w:hAnsi="Verdana"/>
                <w:i/>
                <w:iCs/>
                <w:sz w:val="22"/>
                <w:szCs w:val="22"/>
                <w:lang w:val="es-CO" w:eastAsia="es-CO"/>
              </w:rPr>
              <w:t xml:space="preserve">en el marco del numeral 14 del artículo 2.1.2.3.3 del Decreto 1081 de 2015, el cual fue incorporado por Decreto 385 de 2026, y en lo que respecta a esta Subdirección, se precisa que el proyecto de circular externa no tiene un impacto fiscal adicional para la Superintendencia y por la naturaleza de los gastos asociados a su implementación, los mismos podrán ser cubiertos con los recursos del Presupuesto General de la Nación asignados a la sección presupuestal 1313 – Superintendencia Financiera de Colombia en la Ley 2559 de 2025 y liquidados mediante el anexo del Decreto 1477 de 2025 y los programados en el anteproyecto de presupuesto de la vigencia 2027 y los programados en el Marco de Gasto de Mediano Plazo para las siguientes vigencias. </w:t>
            </w:r>
            <w:r w:rsidRPr="006710DB">
              <w:rPr>
                <w:rFonts w:ascii="Verdana" w:hAnsi="Verdana" w:cs="Arial"/>
                <w:bCs/>
                <w:i/>
                <w:iCs/>
                <w:sz w:val="22"/>
                <w:szCs w:val="22"/>
              </w:rPr>
              <w:t>»</w:t>
            </w:r>
          </w:p>
          <w:p w14:paraId="3EE1BE5A" w14:textId="77777777" w:rsidR="00696582" w:rsidRPr="006710DB" w:rsidRDefault="00696582" w:rsidP="00F44A2E">
            <w:pPr>
              <w:jc w:val="both"/>
              <w:rPr>
                <w:rFonts w:ascii="Verdana" w:hAnsi="Verdana"/>
                <w:sz w:val="22"/>
                <w:szCs w:val="22"/>
                <w:lang w:eastAsia="es-CO"/>
              </w:rPr>
            </w:pPr>
          </w:p>
        </w:tc>
      </w:tr>
      <w:tr w:rsidR="00DF60FD" w:rsidRPr="006710DB" w14:paraId="7FF41DBF" w14:textId="77777777" w:rsidTr="00696582">
        <w:trPr>
          <w:trHeight w:val="1295"/>
        </w:trPr>
        <w:tc>
          <w:tcPr>
            <w:tcW w:w="10774" w:type="dxa"/>
            <w:gridSpan w:val="3"/>
            <w:tcBorders>
              <w:top w:val="single" w:sz="4" w:space="0" w:color="auto"/>
              <w:bottom w:val="single" w:sz="4" w:space="0" w:color="auto"/>
            </w:tcBorders>
            <w:shd w:val="clear" w:color="auto" w:fill="FFFFFF"/>
            <w:vAlign w:val="center"/>
          </w:tcPr>
          <w:p w14:paraId="2895DE6A" w14:textId="77777777" w:rsidR="00D46FBF" w:rsidRPr="006710DB" w:rsidRDefault="00DF60FD" w:rsidP="000D48E8">
            <w:pPr>
              <w:numPr>
                <w:ilvl w:val="0"/>
                <w:numId w:val="2"/>
              </w:numPr>
              <w:jc w:val="both"/>
              <w:rPr>
                <w:rFonts w:ascii="Verdana" w:hAnsi="Verdana" w:cs="Arial"/>
                <w:b/>
                <w:color w:val="000000"/>
                <w:sz w:val="22"/>
                <w:szCs w:val="22"/>
              </w:rPr>
            </w:pPr>
            <w:r w:rsidRPr="006710DB">
              <w:rPr>
                <w:rFonts w:ascii="Verdana" w:hAnsi="Verdana" w:cs="Arial"/>
                <w:bCs/>
                <w:color w:val="000000"/>
                <w:sz w:val="22"/>
                <w:szCs w:val="22"/>
              </w:rPr>
              <w:t xml:space="preserve"> </w:t>
            </w:r>
            <w:r w:rsidRPr="006710DB">
              <w:rPr>
                <w:rFonts w:ascii="Verdana" w:hAnsi="Verdana" w:cs="Arial"/>
                <w:b/>
                <w:color w:val="000000"/>
                <w:sz w:val="22"/>
                <w:szCs w:val="22"/>
              </w:rPr>
              <w:t xml:space="preserve">IMPACTO MEDIOAMBIENTAL O SOBRE EL PATRIMONIO CULTURAL DE LA NACIÓN </w:t>
            </w:r>
          </w:p>
          <w:p w14:paraId="18824C2C" w14:textId="77777777" w:rsidR="00D46FBF" w:rsidRPr="006710DB" w:rsidRDefault="00D46FBF" w:rsidP="00D46FBF">
            <w:pPr>
              <w:jc w:val="both"/>
              <w:rPr>
                <w:rFonts w:ascii="Verdana" w:hAnsi="Verdana" w:cs="Arial"/>
                <w:b/>
                <w:color w:val="000000"/>
                <w:sz w:val="22"/>
                <w:szCs w:val="22"/>
              </w:rPr>
            </w:pPr>
          </w:p>
          <w:p w14:paraId="098B0119" w14:textId="405F569C" w:rsidR="00BB17E4" w:rsidRPr="006710DB" w:rsidRDefault="00BB17E4" w:rsidP="00BB17E4">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El proyecto de Circular Externa no genera impactos directos sobre el medio ambiente ni sobre el patrimonio cultural de la Nación</w:t>
            </w:r>
            <w:r w:rsidR="008679AE">
              <w:rPr>
                <w:rFonts w:ascii="Verdana" w:hAnsi="Verdana" w:cs="Arial"/>
                <w:bCs/>
                <w:color w:val="000000"/>
                <w:sz w:val="22"/>
                <w:szCs w:val="22"/>
                <w:lang w:val="es-CO"/>
              </w:rPr>
              <w:t xml:space="preserve">, pues </w:t>
            </w:r>
            <w:r w:rsidRPr="006710DB">
              <w:rPr>
                <w:rFonts w:ascii="Verdana" w:hAnsi="Verdana" w:cs="Arial"/>
                <w:bCs/>
                <w:color w:val="000000"/>
                <w:sz w:val="22"/>
                <w:szCs w:val="22"/>
                <w:lang w:val="es-CO"/>
              </w:rPr>
              <w:t>no regula actividades que impliquen intervención, aprovechamiento o afectación de recursos naturales, ecosistemas, áreas protegidas, bienes de interés cultural o elementos integrantes del patrimonio cultural de la Nación.</w:t>
            </w:r>
          </w:p>
          <w:p w14:paraId="34B5C538" w14:textId="77777777" w:rsidR="00BB17E4" w:rsidRPr="006710DB" w:rsidRDefault="00BB17E4" w:rsidP="00BB17E4">
            <w:pPr>
              <w:jc w:val="both"/>
              <w:rPr>
                <w:rFonts w:ascii="Verdana" w:hAnsi="Verdana" w:cs="Arial"/>
                <w:bCs/>
                <w:color w:val="000000"/>
                <w:sz w:val="22"/>
                <w:szCs w:val="22"/>
                <w:lang w:val="es-CO"/>
              </w:rPr>
            </w:pPr>
          </w:p>
          <w:p w14:paraId="3C5BC478" w14:textId="77777777" w:rsidR="00BB17E4" w:rsidRPr="006710DB" w:rsidRDefault="00BB17E4" w:rsidP="00BB17E4">
            <w:pPr>
              <w:jc w:val="both"/>
              <w:rPr>
                <w:rFonts w:ascii="Verdana" w:hAnsi="Verdana" w:cs="Arial"/>
                <w:bCs/>
                <w:color w:val="000000"/>
                <w:sz w:val="22"/>
                <w:szCs w:val="22"/>
                <w:lang w:val="es-CO"/>
              </w:rPr>
            </w:pPr>
            <w:r w:rsidRPr="006710DB">
              <w:rPr>
                <w:rFonts w:ascii="Verdana" w:hAnsi="Verdana" w:cs="Arial"/>
                <w:bCs/>
                <w:color w:val="000000"/>
                <w:sz w:val="22"/>
                <w:szCs w:val="22"/>
                <w:lang w:val="es-CO"/>
              </w:rPr>
              <w:lastRenderedPageBreak/>
              <w:t>Tampoco contempla la ejecución de obras, infraestructura física o actividades susceptibles de generar impactos ambientales significativos.</w:t>
            </w:r>
          </w:p>
          <w:p w14:paraId="278D023E" w14:textId="77777777" w:rsidR="00BB17E4" w:rsidRPr="006710DB" w:rsidRDefault="00BB17E4" w:rsidP="00BB17E4">
            <w:pPr>
              <w:jc w:val="both"/>
              <w:rPr>
                <w:rFonts w:ascii="Verdana" w:hAnsi="Verdana" w:cs="Arial"/>
                <w:bCs/>
                <w:color w:val="000000"/>
                <w:sz w:val="22"/>
                <w:szCs w:val="22"/>
                <w:lang w:val="es-CO"/>
              </w:rPr>
            </w:pPr>
          </w:p>
          <w:p w14:paraId="092C0F4E" w14:textId="5118A3D2" w:rsidR="00D46FBF" w:rsidRPr="006710DB" w:rsidRDefault="00BB17E4" w:rsidP="00D46FBF">
            <w:pPr>
              <w:jc w:val="both"/>
              <w:rPr>
                <w:rFonts w:ascii="Verdana" w:hAnsi="Verdana" w:cs="Arial"/>
                <w:bCs/>
                <w:color w:val="000000"/>
                <w:sz w:val="22"/>
                <w:szCs w:val="22"/>
                <w:lang w:val="es-CO"/>
              </w:rPr>
            </w:pPr>
            <w:r w:rsidRPr="006710DB">
              <w:rPr>
                <w:rFonts w:ascii="Verdana" w:hAnsi="Verdana" w:cs="Arial"/>
                <w:bCs/>
                <w:color w:val="000000"/>
                <w:sz w:val="22"/>
                <w:szCs w:val="22"/>
                <w:lang w:val="es-CO"/>
              </w:rPr>
              <w:t>Por lo anterior, se concluye que el proyecto normativo no produce impactos ambientales ni efectos sobre el patrimonio cultural de la Nación.</w:t>
            </w:r>
          </w:p>
          <w:p w14:paraId="7A53E7E4" w14:textId="77777777" w:rsidR="00696582" w:rsidRPr="006710DB" w:rsidRDefault="00696582" w:rsidP="00D46FBF">
            <w:pPr>
              <w:jc w:val="both"/>
              <w:rPr>
                <w:rFonts w:ascii="Verdana" w:hAnsi="Verdana" w:cs="Arial"/>
                <w:bCs/>
                <w:color w:val="000000"/>
                <w:sz w:val="22"/>
                <w:szCs w:val="22"/>
              </w:rPr>
            </w:pPr>
          </w:p>
        </w:tc>
      </w:tr>
      <w:tr w:rsidR="00DF60FD" w:rsidRPr="006710DB" w14:paraId="77101BB5" w14:textId="77777777" w:rsidTr="00696582">
        <w:trPr>
          <w:trHeight w:val="317"/>
        </w:trPr>
        <w:tc>
          <w:tcPr>
            <w:tcW w:w="10774" w:type="dxa"/>
            <w:gridSpan w:val="3"/>
            <w:tcBorders>
              <w:top w:val="single" w:sz="4" w:space="0" w:color="auto"/>
              <w:bottom w:val="single" w:sz="4" w:space="0" w:color="auto"/>
            </w:tcBorders>
            <w:shd w:val="clear" w:color="auto" w:fill="FFFFFF"/>
            <w:vAlign w:val="center"/>
          </w:tcPr>
          <w:p w14:paraId="53261568" w14:textId="77777777" w:rsidR="00D05B67" w:rsidRPr="006710DB" w:rsidRDefault="00D05B67" w:rsidP="000D48E8">
            <w:pPr>
              <w:numPr>
                <w:ilvl w:val="0"/>
                <w:numId w:val="2"/>
              </w:numPr>
              <w:jc w:val="both"/>
              <w:rPr>
                <w:rFonts w:ascii="Verdana" w:hAnsi="Verdana" w:cs="Arial"/>
                <w:sz w:val="22"/>
                <w:szCs w:val="22"/>
              </w:rPr>
            </w:pPr>
            <w:r w:rsidRPr="006710DB">
              <w:rPr>
                <w:rFonts w:ascii="Verdana" w:hAnsi="Verdana" w:cs="Arial"/>
                <w:b/>
                <w:sz w:val="22"/>
                <w:szCs w:val="22"/>
              </w:rPr>
              <w:lastRenderedPageBreak/>
              <w:t>ESTUDIOS TÉCNICOS QUE SUSTENTEN EL PROYECTO NORMATIVO</w:t>
            </w:r>
            <w:r w:rsidRPr="006710DB">
              <w:rPr>
                <w:rFonts w:ascii="Verdana" w:hAnsi="Verdana" w:cs="Arial"/>
                <w:sz w:val="22"/>
                <w:szCs w:val="22"/>
              </w:rPr>
              <w:t xml:space="preserve"> (Si cuenta con ellos)</w:t>
            </w:r>
            <w:r w:rsidR="00696582" w:rsidRPr="006710DB">
              <w:rPr>
                <w:rFonts w:ascii="Verdana" w:hAnsi="Verdana" w:cs="Arial"/>
                <w:sz w:val="22"/>
                <w:szCs w:val="22"/>
              </w:rPr>
              <w:t xml:space="preserve"> </w:t>
            </w:r>
          </w:p>
        </w:tc>
      </w:tr>
      <w:tr w:rsidR="00DF60FD" w:rsidRPr="006710DB" w14:paraId="700D34AE" w14:textId="77777777" w:rsidTr="0075705D">
        <w:trPr>
          <w:trHeight w:val="66"/>
        </w:trPr>
        <w:tc>
          <w:tcPr>
            <w:tcW w:w="10774" w:type="dxa"/>
            <w:gridSpan w:val="3"/>
            <w:tcBorders>
              <w:top w:val="single" w:sz="4" w:space="0" w:color="auto"/>
              <w:bottom w:val="single" w:sz="4" w:space="0" w:color="auto"/>
            </w:tcBorders>
            <w:shd w:val="clear" w:color="auto" w:fill="FFFFFF"/>
            <w:vAlign w:val="center"/>
          </w:tcPr>
          <w:p w14:paraId="4003E24B" w14:textId="77777777" w:rsidR="00843EFF" w:rsidRPr="006710DB" w:rsidRDefault="00843EFF" w:rsidP="00A161B9">
            <w:pPr>
              <w:rPr>
                <w:rFonts w:ascii="Verdana" w:hAnsi="Verdana" w:cs="Arial"/>
                <w:b/>
                <w:color w:val="000000"/>
                <w:sz w:val="22"/>
                <w:szCs w:val="22"/>
              </w:rPr>
            </w:pPr>
          </w:p>
        </w:tc>
      </w:tr>
      <w:tr w:rsidR="00DF60FD" w:rsidRPr="006710DB" w14:paraId="480B300C" w14:textId="77777777" w:rsidTr="0075705D">
        <w:trPr>
          <w:trHeight w:val="66"/>
        </w:trPr>
        <w:tc>
          <w:tcPr>
            <w:tcW w:w="10774" w:type="dxa"/>
            <w:gridSpan w:val="3"/>
            <w:tcBorders>
              <w:top w:val="single" w:sz="4" w:space="0" w:color="auto"/>
              <w:bottom w:val="single" w:sz="4" w:space="0" w:color="auto"/>
            </w:tcBorders>
            <w:shd w:val="clear" w:color="auto" w:fill="FFFFFF"/>
            <w:vAlign w:val="center"/>
          </w:tcPr>
          <w:p w14:paraId="45AAE475" w14:textId="77777777" w:rsidR="00DF60FD" w:rsidRPr="00810CC4" w:rsidRDefault="00810CC4" w:rsidP="00A161B9">
            <w:pPr>
              <w:rPr>
                <w:rFonts w:ascii="Verdana" w:hAnsi="Verdana" w:cs="Arial"/>
                <w:b/>
                <w:bCs/>
                <w:color w:val="996633"/>
                <w:sz w:val="22"/>
                <w:szCs w:val="22"/>
              </w:rPr>
            </w:pPr>
            <w:r w:rsidRPr="00810CC4">
              <w:rPr>
                <w:rFonts w:ascii="Verdana" w:hAnsi="Verdana" w:cs="Arial"/>
                <w:b/>
                <w:bCs/>
                <w:color w:val="996633"/>
                <w:sz w:val="22"/>
                <w:szCs w:val="22"/>
              </w:rPr>
              <w:t>N/A</w:t>
            </w:r>
          </w:p>
        </w:tc>
      </w:tr>
      <w:tr w:rsidR="00DF60FD" w:rsidRPr="006710DB" w14:paraId="424E7127" w14:textId="77777777" w:rsidTr="0075705D">
        <w:trPr>
          <w:trHeight w:val="66"/>
        </w:trPr>
        <w:tc>
          <w:tcPr>
            <w:tcW w:w="10774" w:type="dxa"/>
            <w:gridSpan w:val="3"/>
            <w:tcBorders>
              <w:top w:val="single" w:sz="4" w:space="0" w:color="auto"/>
              <w:bottom w:val="single" w:sz="4" w:space="0" w:color="auto"/>
            </w:tcBorders>
            <w:shd w:val="clear" w:color="auto" w:fill="FFFFFF"/>
            <w:vAlign w:val="center"/>
          </w:tcPr>
          <w:p w14:paraId="703F2A80" w14:textId="77777777" w:rsidR="00DF60FD" w:rsidRPr="006710DB" w:rsidRDefault="00DF60FD" w:rsidP="00F55DC4">
            <w:pPr>
              <w:jc w:val="both"/>
              <w:rPr>
                <w:rFonts w:ascii="Verdana" w:hAnsi="Verdana" w:cs="Arial"/>
                <w:sz w:val="22"/>
                <w:szCs w:val="22"/>
              </w:rPr>
            </w:pPr>
          </w:p>
        </w:tc>
      </w:tr>
      <w:tr w:rsidR="00DF60FD" w:rsidRPr="006710DB" w14:paraId="7E95496A" w14:textId="77777777" w:rsidTr="0075705D">
        <w:trPr>
          <w:trHeight w:val="66"/>
        </w:trPr>
        <w:tc>
          <w:tcPr>
            <w:tcW w:w="10774" w:type="dxa"/>
            <w:gridSpan w:val="3"/>
            <w:tcBorders>
              <w:top w:val="single" w:sz="4" w:space="0" w:color="auto"/>
              <w:bottom w:val="single" w:sz="4" w:space="0" w:color="auto"/>
            </w:tcBorders>
            <w:shd w:val="clear" w:color="auto" w:fill="FFFFFF"/>
            <w:vAlign w:val="center"/>
          </w:tcPr>
          <w:p w14:paraId="5657BA5C" w14:textId="77777777" w:rsidR="00DF60FD" w:rsidRPr="006710DB" w:rsidRDefault="00DF60FD" w:rsidP="00843EFF">
            <w:pPr>
              <w:jc w:val="center"/>
              <w:rPr>
                <w:rFonts w:ascii="Verdana" w:hAnsi="Verdana" w:cs="Arial"/>
                <w:sz w:val="22"/>
                <w:szCs w:val="22"/>
                <w:u w:val="single"/>
              </w:rPr>
            </w:pPr>
          </w:p>
        </w:tc>
      </w:tr>
      <w:tr w:rsidR="00DF60FD" w:rsidRPr="006710DB" w14:paraId="4D481A24" w14:textId="77777777">
        <w:trPr>
          <w:trHeight w:val="416"/>
        </w:trPr>
        <w:tc>
          <w:tcPr>
            <w:tcW w:w="10774" w:type="dxa"/>
            <w:gridSpan w:val="3"/>
            <w:tcBorders>
              <w:top w:val="single" w:sz="4" w:space="0" w:color="auto"/>
              <w:bottom w:val="single" w:sz="4" w:space="0" w:color="auto"/>
            </w:tcBorders>
            <w:shd w:val="clear" w:color="auto" w:fill="A6A6A6"/>
            <w:vAlign w:val="center"/>
          </w:tcPr>
          <w:p w14:paraId="402E5A39" w14:textId="77777777" w:rsidR="00F55DC4" w:rsidRPr="006710DB" w:rsidRDefault="00DF60FD" w:rsidP="00696582">
            <w:pPr>
              <w:jc w:val="center"/>
              <w:rPr>
                <w:rFonts w:ascii="Verdana" w:hAnsi="Verdana" w:cs="Arial"/>
                <w:color w:val="FFFFFF"/>
                <w:sz w:val="22"/>
                <w:szCs w:val="22"/>
              </w:rPr>
            </w:pPr>
            <w:r w:rsidRPr="006710DB">
              <w:rPr>
                <w:rFonts w:ascii="Verdana" w:hAnsi="Verdana" w:cs="Arial"/>
                <w:b/>
                <w:color w:val="FFFFFF"/>
                <w:sz w:val="22"/>
                <w:szCs w:val="22"/>
              </w:rPr>
              <w:t>ANEXOS</w:t>
            </w:r>
            <w:r w:rsidR="00D05B67" w:rsidRPr="006710DB">
              <w:rPr>
                <w:rFonts w:ascii="Verdana" w:hAnsi="Verdana" w:cs="Arial"/>
                <w:b/>
                <w:color w:val="FFFFFF"/>
                <w:sz w:val="22"/>
                <w:szCs w:val="22"/>
              </w:rPr>
              <w:t>:</w:t>
            </w:r>
            <w:r w:rsidR="00696582" w:rsidRPr="006710DB">
              <w:rPr>
                <w:rFonts w:ascii="Verdana" w:hAnsi="Verdana" w:cs="Arial"/>
                <w:color w:val="FFFFFF"/>
                <w:sz w:val="22"/>
                <w:szCs w:val="22"/>
              </w:rPr>
              <w:t xml:space="preserve"> </w:t>
            </w:r>
          </w:p>
        </w:tc>
      </w:tr>
      <w:tr w:rsidR="00D05B67" w:rsidRPr="006710DB" w14:paraId="2EE96CB5"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21FC452" w14:textId="77777777" w:rsidR="00D05B67" w:rsidRPr="006710DB" w:rsidRDefault="00D05B67" w:rsidP="00D05B67">
            <w:pPr>
              <w:jc w:val="both"/>
              <w:rPr>
                <w:rFonts w:ascii="Verdana" w:hAnsi="Verdana" w:cs="Arial"/>
                <w:sz w:val="22"/>
                <w:szCs w:val="22"/>
              </w:rPr>
            </w:pPr>
            <w:r w:rsidRPr="006710DB">
              <w:rPr>
                <w:rFonts w:ascii="Verdana" w:hAnsi="Verdana" w:cs="Arial"/>
                <w:sz w:val="22"/>
                <w:szCs w:val="22"/>
              </w:rPr>
              <w:t xml:space="preserve">Certificación de cumplimiento de requisitos de consulta, publicidad y de incorporación en la agenda regulatoria </w:t>
            </w:r>
          </w:p>
          <w:p w14:paraId="77BB778B" w14:textId="77777777" w:rsidR="00D05B67" w:rsidRPr="006710DB" w:rsidRDefault="00D05B67" w:rsidP="00D05B67">
            <w:pPr>
              <w:jc w:val="both"/>
              <w:rPr>
                <w:rFonts w:ascii="Verdana" w:hAnsi="Verdana" w:cs="Arial"/>
                <w:i/>
                <w:color w:val="808080"/>
                <w:sz w:val="22"/>
                <w:szCs w:val="22"/>
              </w:rPr>
            </w:pPr>
            <w:r w:rsidRPr="006710DB">
              <w:rPr>
                <w:rFonts w:ascii="Verdana" w:hAnsi="Verdana" w:cs="Arial"/>
                <w:i/>
                <w:color w:val="808080"/>
                <w:sz w:val="22"/>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vAlign w:val="center"/>
          </w:tcPr>
          <w:p w14:paraId="6DE61611" w14:textId="77777777" w:rsidR="00D05B67" w:rsidRPr="006710DB" w:rsidRDefault="00F26262" w:rsidP="00D05B67">
            <w:pPr>
              <w:jc w:val="both"/>
              <w:rPr>
                <w:rFonts w:ascii="Verdana" w:hAnsi="Verdana" w:cs="Arial"/>
                <w:i/>
                <w:color w:val="808080"/>
                <w:sz w:val="22"/>
                <w:szCs w:val="22"/>
              </w:rPr>
            </w:pPr>
            <w:r w:rsidRPr="006710DB">
              <w:rPr>
                <w:rFonts w:ascii="Verdana" w:hAnsi="Verdana" w:cs="Arial"/>
                <w:i/>
                <w:color w:val="808080"/>
                <w:sz w:val="22"/>
                <w:szCs w:val="22"/>
              </w:rPr>
              <w:t>N/A</w:t>
            </w:r>
          </w:p>
        </w:tc>
      </w:tr>
      <w:tr w:rsidR="00D05B67" w:rsidRPr="006710DB" w14:paraId="3ACA78F8"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4BFC3033" w14:textId="77777777" w:rsidR="00D05B67" w:rsidRPr="006710DB" w:rsidRDefault="00D05B67" w:rsidP="00D05B67">
            <w:pPr>
              <w:jc w:val="both"/>
              <w:rPr>
                <w:rFonts w:ascii="Verdana" w:hAnsi="Verdana" w:cs="Arial"/>
                <w:sz w:val="22"/>
                <w:szCs w:val="22"/>
              </w:rPr>
            </w:pPr>
            <w:r w:rsidRPr="006710DB">
              <w:rPr>
                <w:rFonts w:ascii="Verdana" w:hAnsi="Verdana" w:cs="Arial"/>
                <w:sz w:val="22"/>
                <w:szCs w:val="22"/>
              </w:rPr>
              <w:t>Concepto</w:t>
            </w:r>
            <w:r w:rsidR="005F30C3" w:rsidRPr="006710DB">
              <w:rPr>
                <w:rFonts w:ascii="Verdana" w:hAnsi="Verdana" w:cs="Arial"/>
                <w:sz w:val="22"/>
                <w:szCs w:val="22"/>
              </w:rPr>
              <w:t>(s)</w:t>
            </w:r>
            <w:r w:rsidRPr="006710DB">
              <w:rPr>
                <w:rFonts w:ascii="Verdana" w:hAnsi="Verdana" w:cs="Arial"/>
                <w:sz w:val="22"/>
                <w:szCs w:val="22"/>
              </w:rPr>
              <w:t xml:space="preserve"> de Min</w:t>
            </w:r>
            <w:r w:rsidR="005F30C3" w:rsidRPr="006710DB">
              <w:rPr>
                <w:rFonts w:ascii="Verdana" w:hAnsi="Verdana" w:cs="Arial"/>
                <w:sz w:val="22"/>
                <w:szCs w:val="22"/>
              </w:rPr>
              <w:t>isterio de</w:t>
            </w:r>
            <w:r w:rsidRPr="006710DB">
              <w:rPr>
                <w:rFonts w:ascii="Verdana" w:hAnsi="Verdana" w:cs="Arial"/>
                <w:sz w:val="22"/>
                <w:szCs w:val="22"/>
              </w:rPr>
              <w:t xml:space="preserve"> Comercio</w:t>
            </w:r>
            <w:r w:rsidR="005F30C3" w:rsidRPr="006710DB">
              <w:rPr>
                <w:rFonts w:ascii="Verdana" w:hAnsi="Verdana" w:cs="Arial"/>
                <w:sz w:val="22"/>
                <w:szCs w:val="22"/>
              </w:rPr>
              <w:t>, Industria y Turismo</w:t>
            </w:r>
          </w:p>
          <w:p w14:paraId="24D1E334" w14:textId="77777777" w:rsidR="00D05B67" w:rsidRPr="006710DB" w:rsidRDefault="005F30C3" w:rsidP="00D05B67">
            <w:pPr>
              <w:jc w:val="both"/>
              <w:rPr>
                <w:rFonts w:ascii="Verdana" w:hAnsi="Verdana" w:cs="Arial"/>
                <w:i/>
                <w:color w:val="808080"/>
                <w:sz w:val="22"/>
                <w:szCs w:val="22"/>
              </w:rPr>
            </w:pPr>
            <w:r w:rsidRPr="006710DB">
              <w:rPr>
                <w:rFonts w:ascii="Verdana" w:hAnsi="Verdana" w:cs="Arial"/>
                <w:i/>
                <w:color w:val="808080"/>
                <w:sz w:val="22"/>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vAlign w:val="center"/>
          </w:tcPr>
          <w:p w14:paraId="23061118" w14:textId="77777777" w:rsidR="00D05B67" w:rsidRPr="006710DB" w:rsidRDefault="00F26262" w:rsidP="00D05B67">
            <w:pPr>
              <w:jc w:val="both"/>
              <w:rPr>
                <w:rFonts w:ascii="Verdana" w:hAnsi="Verdana" w:cs="Arial"/>
                <w:sz w:val="22"/>
                <w:szCs w:val="22"/>
              </w:rPr>
            </w:pPr>
            <w:r w:rsidRPr="006710DB">
              <w:rPr>
                <w:rFonts w:ascii="Verdana" w:hAnsi="Verdana" w:cs="Arial"/>
                <w:i/>
                <w:color w:val="808080"/>
                <w:sz w:val="22"/>
                <w:szCs w:val="22"/>
              </w:rPr>
              <w:t>N/A</w:t>
            </w:r>
          </w:p>
        </w:tc>
      </w:tr>
      <w:tr w:rsidR="005F30C3" w:rsidRPr="006710DB" w14:paraId="71C1D869"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048FA53A" w14:textId="77777777" w:rsidR="005F30C3" w:rsidRPr="006710DB" w:rsidRDefault="005F30C3" w:rsidP="00D05B67">
            <w:pPr>
              <w:jc w:val="both"/>
              <w:rPr>
                <w:rFonts w:ascii="Verdana" w:hAnsi="Verdana" w:cs="Arial"/>
                <w:sz w:val="22"/>
                <w:szCs w:val="22"/>
              </w:rPr>
            </w:pPr>
            <w:r w:rsidRPr="006710DB">
              <w:rPr>
                <w:rFonts w:ascii="Verdana" w:hAnsi="Verdana" w:cs="Arial"/>
                <w:sz w:val="22"/>
                <w:szCs w:val="22"/>
              </w:rPr>
              <w:t xml:space="preserve">Informe de observaciones y respuestas </w:t>
            </w:r>
          </w:p>
          <w:p w14:paraId="15C26176" w14:textId="77777777" w:rsidR="005F30C3" w:rsidRPr="006710DB" w:rsidRDefault="005F30C3" w:rsidP="00D05B67">
            <w:pPr>
              <w:jc w:val="both"/>
              <w:rPr>
                <w:rFonts w:ascii="Verdana" w:hAnsi="Verdana" w:cs="Arial"/>
                <w:i/>
                <w:color w:val="808080"/>
                <w:sz w:val="22"/>
                <w:szCs w:val="22"/>
              </w:rPr>
            </w:pPr>
            <w:r w:rsidRPr="006710DB">
              <w:rPr>
                <w:rFonts w:ascii="Verdana" w:hAnsi="Verdana" w:cs="Arial"/>
                <w:i/>
                <w:color w:val="808080"/>
                <w:sz w:val="22"/>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vAlign w:val="center"/>
          </w:tcPr>
          <w:p w14:paraId="5D21B8F8" w14:textId="77777777" w:rsidR="005F30C3" w:rsidRPr="006710DB" w:rsidRDefault="00F26262" w:rsidP="00D05B67">
            <w:pPr>
              <w:jc w:val="both"/>
              <w:rPr>
                <w:rFonts w:ascii="Verdana" w:hAnsi="Verdana" w:cs="Arial"/>
                <w:b/>
                <w:bCs/>
                <w:sz w:val="22"/>
                <w:szCs w:val="22"/>
              </w:rPr>
            </w:pPr>
            <w:r w:rsidRPr="006710DB">
              <w:rPr>
                <w:rFonts w:ascii="Verdana" w:hAnsi="Verdana" w:cs="Arial"/>
                <w:b/>
                <w:bCs/>
                <w:i/>
                <w:sz w:val="22"/>
                <w:szCs w:val="22"/>
              </w:rPr>
              <w:t>X</w:t>
            </w:r>
          </w:p>
        </w:tc>
      </w:tr>
      <w:tr w:rsidR="005F30C3" w:rsidRPr="006710DB" w14:paraId="1334E55F"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34981793" w14:textId="77777777" w:rsidR="005F30C3" w:rsidRPr="006710DB" w:rsidRDefault="005F30C3" w:rsidP="00D05B67">
            <w:pPr>
              <w:jc w:val="both"/>
              <w:rPr>
                <w:rFonts w:ascii="Verdana" w:hAnsi="Verdana" w:cs="Arial"/>
                <w:sz w:val="22"/>
                <w:szCs w:val="22"/>
              </w:rPr>
            </w:pPr>
            <w:r w:rsidRPr="006710DB">
              <w:rPr>
                <w:rFonts w:ascii="Verdana" w:hAnsi="Verdana" w:cs="Arial"/>
                <w:sz w:val="22"/>
                <w:szCs w:val="22"/>
              </w:rPr>
              <w:t>Concepto de Abogacía de la Competencia de la Superintendencia de Industria y Comercio</w:t>
            </w:r>
          </w:p>
          <w:p w14:paraId="49CD3DBD" w14:textId="77777777" w:rsidR="005F30C3" w:rsidRPr="006710DB" w:rsidRDefault="005F30C3" w:rsidP="00D05B67">
            <w:pPr>
              <w:jc w:val="both"/>
              <w:rPr>
                <w:rFonts w:ascii="Verdana" w:hAnsi="Verdana" w:cs="Arial"/>
                <w:i/>
                <w:color w:val="808080"/>
                <w:sz w:val="22"/>
                <w:szCs w:val="22"/>
              </w:rPr>
            </w:pPr>
            <w:r w:rsidRPr="006710DB">
              <w:rPr>
                <w:rFonts w:ascii="Verdana" w:hAnsi="Verdana" w:cs="Arial"/>
                <w:i/>
                <w:color w:val="808080"/>
                <w:sz w:val="22"/>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vAlign w:val="center"/>
          </w:tcPr>
          <w:p w14:paraId="61C6659B" w14:textId="77777777" w:rsidR="005F30C3" w:rsidRPr="006710DB" w:rsidRDefault="00F26262" w:rsidP="00D05B67">
            <w:pPr>
              <w:jc w:val="both"/>
              <w:rPr>
                <w:rFonts w:ascii="Verdana" w:hAnsi="Verdana" w:cs="Arial"/>
                <w:sz w:val="22"/>
                <w:szCs w:val="22"/>
              </w:rPr>
            </w:pPr>
            <w:r w:rsidRPr="006710DB">
              <w:rPr>
                <w:rFonts w:ascii="Verdana" w:hAnsi="Verdana" w:cs="Arial"/>
                <w:i/>
                <w:color w:val="808080"/>
                <w:sz w:val="22"/>
                <w:szCs w:val="22"/>
              </w:rPr>
              <w:t>N/A</w:t>
            </w:r>
          </w:p>
        </w:tc>
      </w:tr>
      <w:tr w:rsidR="005F30C3" w:rsidRPr="006710DB" w14:paraId="73A82D55"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6F501CDD" w14:textId="77777777" w:rsidR="005F30C3" w:rsidRPr="006710DB" w:rsidRDefault="005F30C3" w:rsidP="00D05B67">
            <w:pPr>
              <w:jc w:val="both"/>
              <w:rPr>
                <w:rFonts w:ascii="Verdana" w:hAnsi="Verdana" w:cs="Arial"/>
                <w:sz w:val="22"/>
                <w:szCs w:val="22"/>
              </w:rPr>
            </w:pPr>
            <w:r w:rsidRPr="006710DB">
              <w:rPr>
                <w:rFonts w:ascii="Verdana" w:hAnsi="Verdana" w:cs="Arial"/>
                <w:sz w:val="22"/>
                <w:szCs w:val="22"/>
              </w:rPr>
              <w:t>Concepto de aprobación nuevos trámites del Departamento Administrativo de la Función Pública</w:t>
            </w:r>
          </w:p>
          <w:p w14:paraId="6F7042B1" w14:textId="77777777" w:rsidR="005F30C3" w:rsidRPr="006710DB" w:rsidRDefault="005F30C3" w:rsidP="00D05B67">
            <w:pPr>
              <w:jc w:val="both"/>
              <w:rPr>
                <w:rFonts w:ascii="Verdana" w:hAnsi="Verdana" w:cs="Arial"/>
                <w:sz w:val="22"/>
                <w:szCs w:val="22"/>
              </w:rPr>
            </w:pPr>
            <w:r w:rsidRPr="006710DB">
              <w:rPr>
                <w:rFonts w:ascii="Verdana" w:hAnsi="Verdana" w:cs="Arial"/>
                <w:i/>
                <w:color w:val="808080"/>
                <w:sz w:val="22"/>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vAlign w:val="center"/>
          </w:tcPr>
          <w:p w14:paraId="40BB7C9B" w14:textId="77777777" w:rsidR="005F30C3" w:rsidRPr="006710DB" w:rsidRDefault="00F26262" w:rsidP="00D05B67">
            <w:pPr>
              <w:jc w:val="both"/>
              <w:rPr>
                <w:rFonts w:ascii="Verdana" w:hAnsi="Verdana" w:cs="Arial"/>
                <w:sz w:val="22"/>
                <w:szCs w:val="22"/>
              </w:rPr>
            </w:pPr>
            <w:r w:rsidRPr="006710DB">
              <w:rPr>
                <w:rFonts w:ascii="Verdana" w:hAnsi="Verdana" w:cs="Arial"/>
                <w:i/>
                <w:color w:val="808080"/>
                <w:sz w:val="22"/>
                <w:szCs w:val="22"/>
              </w:rPr>
              <w:t>N/A</w:t>
            </w:r>
          </w:p>
        </w:tc>
      </w:tr>
      <w:tr w:rsidR="005F30C3" w:rsidRPr="006710DB" w14:paraId="4466BC72" w14:textId="77777777" w:rsidTr="0075705D">
        <w:trPr>
          <w:trHeight w:val="66"/>
        </w:trPr>
        <w:tc>
          <w:tcPr>
            <w:tcW w:w="7655" w:type="dxa"/>
            <w:gridSpan w:val="2"/>
            <w:tcBorders>
              <w:top w:val="single" w:sz="4" w:space="0" w:color="auto"/>
              <w:bottom w:val="single" w:sz="4" w:space="0" w:color="auto"/>
              <w:right w:val="single" w:sz="4" w:space="0" w:color="auto"/>
            </w:tcBorders>
            <w:shd w:val="clear" w:color="auto" w:fill="FFFFFF"/>
            <w:vAlign w:val="center"/>
          </w:tcPr>
          <w:p w14:paraId="15E00CB8" w14:textId="77777777" w:rsidR="005F30C3" w:rsidRPr="006710DB" w:rsidRDefault="005F30C3" w:rsidP="00084B49">
            <w:pPr>
              <w:jc w:val="both"/>
              <w:rPr>
                <w:rFonts w:ascii="Verdana" w:hAnsi="Verdana" w:cs="Arial"/>
                <w:sz w:val="22"/>
                <w:szCs w:val="22"/>
              </w:rPr>
            </w:pPr>
            <w:r w:rsidRPr="006710DB">
              <w:rPr>
                <w:rFonts w:ascii="Verdana" w:hAnsi="Verdana" w:cs="Arial"/>
                <w:sz w:val="22"/>
                <w:szCs w:val="22"/>
              </w:rPr>
              <w:t xml:space="preserve">Otro </w:t>
            </w:r>
          </w:p>
          <w:p w14:paraId="4F54A59E" w14:textId="77777777" w:rsidR="005F30C3" w:rsidRPr="006710DB" w:rsidRDefault="005F30C3" w:rsidP="00084B49">
            <w:pPr>
              <w:jc w:val="both"/>
              <w:rPr>
                <w:rFonts w:ascii="Verdana" w:hAnsi="Verdana" w:cs="Arial"/>
                <w:sz w:val="22"/>
                <w:szCs w:val="22"/>
              </w:rPr>
            </w:pPr>
            <w:r w:rsidRPr="006710DB">
              <w:rPr>
                <w:rFonts w:ascii="Verdana" w:hAnsi="Verdana" w:cs="Arial"/>
                <w:i/>
                <w:color w:val="808080"/>
                <w:sz w:val="22"/>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vAlign w:val="center"/>
          </w:tcPr>
          <w:p w14:paraId="7D626FC4" w14:textId="77777777" w:rsidR="005F30C3" w:rsidRPr="006710DB" w:rsidRDefault="00F26262" w:rsidP="00D05B67">
            <w:pPr>
              <w:jc w:val="both"/>
              <w:rPr>
                <w:rFonts w:ascii="Verdana" w:hAnsi="Verdana" w:cs="Arial"/>
                <w:sz w:val="22"/>
                <w:szCs w:val="22"/>
              </w:rPr>
            </w:pPr>
            <w:r w:rsidRPr="006710DB">
              <w:rPr>
                <w:rFonts w:ascii="Verdana" w:hAnsi="Verdana" w:cs="Arial"/>
                <w:i/>
                <w:color w:val="808080"/>
                <w:sz w:val="22"/>
                <w:szCs w:val="22"/>
              </w:rPr>
              <w:t>N/A</w:t>
            </w:r>
          </w:p>
        </w:tc>
      </w:tr>
    </w:tbl>
    <w:p w14:paraId="34584033" w14:textId="77777777" w:rsidR="00301DC2" w:rsidRPr="006710DB" w:rsidRDefault="00301DC2" w:rsidP="00587695">
      <w:pPr>
        <w:ind w:right="-377"/>
        <w:jc w:val="both"/>
        <w:rPr>
          <w:rFonts w:ascii="Verdana" w:hAnsi="Verdana" w:cs="Arial"/>
          <w:sz w:val="22"/>
          <w:szCs w:val="22"/>
        </w:rPr>
      </w:pPr>
    </w:p>
    <w:p w14:paraId="38A3B5C0" w14:textId="77777777" w:rsidR="00B66D03" w:rsidRPr="006710DB" w:rsidRDefault="000B30A6" w:rsidP="00696582">
      <w:pPr>
        <w:ind w:left="-1276" w:right="-377" w:firstLine="283"/>
        <w:jc w:val="both"/>
        <w:rPr>
          <w:rFonts w:ascii="Verdana" w:hAnsi="Verdana" w:cs="Arial"/>
          <w:b/>
          <w:sz w:val="22"/>
          <w:szCs w:val="22"/>
        </w:rPr>
      </w:pPr>
      <w:r w:rsidRPr="006710DB">
        <w:rPr>
          <w:rFonts w:ascii="Verdana" w:hAnsi="Verdana" w:cs="Arial"/>
          <w:b/>
          <w:sz w:val="22"/>
          <w:szCs w:val="22"/>
        </w:rPr>
        <w:t>Aprobó</w:t>
      </w:r>
      <w:r w:rsidR="00CB4D37" w:rsidRPr="006710DB">
        <w:rPr>
          <w:rFonts w:ascii="Verdana" w:hAnsi="Verdana" w:cs="Arial"/>
          <w:b/>
          <w:sz w:val="22"/>
          <w:szCs w:val="22"/>
        </w:rPr>
        <w:t>:</w:t>
      </w:r>
    </w:p>
    <w:p w14:paraId="7B805CB0" w14:textId="77777777" w:rsidR="00B66D03" w:rsidRPr="006710DB" w:rsidRDefault="00B66D03" w:rsidP="00086B16">
      <w:pPr>
        <w:ind w:left="-1276" w:right="-377"/>
        <w:jc w:val="both"/>
        <w:rPr>
          <w:rFonts w:ascii="Verdana" w:hAnsi="Verdana" w:cs="Arial"/>
          <w:sz w:val="22"/>
          <w:szCs w:val="22"/>
        </w:rPr>
      </w:pPr>
    </w:p>
    <w:p w14:paraId="0670D942" w14:textId="77777777" w:rsidR="007E4CE3" w:rsidRPr="006710DB" w:rsidRDefault="007E4CE3" w:rsidP="00086B16">
      <w:pPr>
        <w:ind w:left="-1276" w:right="-377"/>
        <w:jc w:val="both"/>
        <w:rPr>
          <w:rFonts w:ascii="Verdana" w:hAnsi="Verdana" w:cs="Arial"/>
          <w:sz w:val="22"/>
          <w:szCs w:val="22"/>
        </w:rPr>
      </w:pPr>
    </w:p>
    <w:p w14:paraId="324B5C45" w14:textId="77777777" w:rsidR="007E4CE3" w:rsidRPr="006710DB" w:rsidRDefault="007E4CE3" w:rsidP="00086B16">
      <w:pPr>
        <w:ind w:left="-1276" w:right="-377"/>
        <w:jc w:val="both"/>
        <w:rPr>
          <w:rFonts w:ascii="Verdana" w:hAnsi="Verdana" w:cs="Arial"/>
          <w:sz w:val="22"/>
          <w:szCs w:val="22"/>
        </w:rPr>
      </w:pPr>
    </w:p>
    <w:p w14:paraId="101F8BC0" w14:textId="77777777" w:rsidR="00F16839" w:rsidRPr="009F7CED" w:rsidRDefault="00F16839" w:rsidP="0075705D">
      <w:pPr>
        <w:ind w:right="-377"/>
        <w:jc w:val="both"/>
        <w:rPr>
          <w:rFonts w:cs="Arial"/>
          <w:sz w:val="22"/>
          <w:szCs w:val="22"/>
        </w:rPr>
      </w:pPr>
    </w:p>
    <w:p w14:paraId="2540FF92" w14:textId="77777777" w:rsidR="00014D67" w:rsidRDefault="00014D67" w:rsidP="00086B16">
      <w:pPr>
        <w:ind w:left="-1276" w:right="-377"/>
        <w:jc w:val="both"/>
        <w:rPr>
          <w:rFonts w:cs="Arial"/>
          <w:sz w:val="22"/>
          <w:szCs w:val="22"/>
        </w:rPr>
      </w:pPr>
    </w:p>
    <w:p w14:paraId="49994E11" w14:textId="77777777" w:rsidR="002925B0" w:rsidRDefault="002925B0" w:rsidP="00086B16">
      <w:pPr>
        <w:ind w:left="-1276" w:right="-377"/>
        <w:jc w:val="both"/>
        <w:rPr>
          <w:rFonts w:cs="Arial"/>
          <w:sz w:val="22"/>
          <w:szCs w:val="22"/>
        </w:rPr>
      </w:pPr>
    </w:p>
    <w:p w14:paraId="1954CDB3" w14:textId="77777777" w:rsidR="002925B0" w:rsidRDefault="002925B0" w:rsidP="00086B16">
      <w:pPr>
        <w:ind w:left="-1276" w:right="-377"/>
        <w:jc w:val="both"/>
        <w:rPr>
          <w:rFonts w:cs="Arial"/>
          <w:sz w:val="22"/>
          <w:szCs w:val="22"/>
        </w:rPr>
      </w:pPr>
    </w:p>
    <w:p w14:paraId="6564189A" w14:textId="77777777" w:rsidR="002925B0" w:rsidRDefault="002925B0" w:rsidP="00086B16">
      <w:pPr>
        <w:ind w:left="-1276" w:right="-377"/>
        <w:jc w:val="both"/>
        <w:rPr>
          <w:rFonts w:cs="Arial"/>
          <w:sz w:val="22"/>
          <w:szCs w:val="22"/>
        </w:rPr>
      </w:pPr>
    </w:p>
    <w:p w14:paraId="4C10BE36" w14:textId="77777777" w:rsidR="002925B0" w:rsidRPr="009F7CED" w:rsidRDefault="002925B0" w:rsidP="00086B16">
      <w:pPr>
        <w:ind w:left="-1276" w:right="-377"/>
        <w:jc w:val="both"/>
        <w:rPr>
          <w:rFonts w:cs="Arial"/>
          <w:sz w:val="22"/>
          <w:szCs w:val="22"/>
        </w:rPr>
      </w:pPr>
    </w:p>
    <w:p w14:paraId="395DF788" w14:textId="77777777" w:rsidR="00D05B67" w:rsidRDefault="00D05B67" w:rsidP="00D05B67">
      <w:pPr>
        <w:jc w:val="both"/>
        <w:rPr>
          <w:rFonts w:cs="Arial"/>
          <w:b/>
        </w:rPr>
      </w:pPr>
      <w:r>
        <w:rPr>
          <w:rFonts w:cs="Arial"/>
          <w:b/>
        </w:rPr>
        <w:t>_________________</w:t>
      </w:r>
      <w:r w:rsidR="002925B0">
        <w:rPr>
          <w:rFonts w:cs="Arial"/>
          <w:b/>
        </w:rPr>
        <w:t>_________________________________________</w:t>
      </w:r>
    </w:p>
    <w:p w14:paraId="64EDF50B" w14:textId="77777777" w:rsidR="00D05B67" w:rsidRDefault="00507863" w:rsidP="00696582">
      <w:pPr>
        <w:rPr>
          <w:rFonts w:cs="Arial"/>
          <w:b/>
        </w:rPr>
      </w:pPr>
      <w:r>
        <w:rPr>
          <w:rFonts w:cs="Arial"/>
          <w:b/>
        </w:rPr>
        <w:t>MARIO ALBERTO SÁNCHEZ</w:t>
      </w:r>
    </w:p>
    <w:p w14:paraId="17DEA2A1" w14:textId="77777777" w:rsidR="00507863" w:rsidRDefault="00507863" w:rsidP="00696582">
      <w:pPr>
        <w:rPr>
          <w:rFonts w:cs="Arial"/>
          <w:b/>
        </w:rPr>
      </w:pPr>
      <w:r>
        <w:rPr>
          <w:rFonts w:cs="Arial"/>
          <w:b/>
        </w:rPr>
        <w:t>Director Jurídico</w:t>
      </w:r>
    </w:p>
    <w:p w14:paraId="5311C916" w14:textId="77777777" w:rsidR="00D05B67" w:rsidRDefault="00D05B67" w:rsidP="00696582">
      <w:pPr>
        <w:rPr>
          <w:rFonts w:cs="Arial"/>
          <w:b/>
        </w:rPr>
      </w:pPr>
    </w:p>
    <w:p w14:paraId="6C5C3F95" w14:textId="77777777" w:rsidR="002925B0" w:rsidRDefault="002925B0" w:rsidP="00696582">
      <w:pPr>
        <w:rPr>
          <w:rFonts w:cs="Arial"/>
          <w:b/>
        </w:rPr>
      </w:pPr>
    </w:p>
    <w:p w14:paraId="2A003B3B" w14:textId="77777777" w:rsidR="002925B0" w:rsidRDefault="002925B0" w:rsidP="00696582">
      <w:pPr>
        <w:rPr>
          <w:rFonts w:cs="Arial"/>
          <w:b/>
        </w:rPr>
      </w:pPr>
    </w:p>
    <w:p w14:paraId="65ED02E6" w14:textId="77777777" w:rsidR="002925B0" w:rsidRDefault="002925B0" w:rsidP="00696582">
      <w:pPr>
        <w:rPr>
          <w:rFonts w:cs="Arial"/>
          <w:b/>
        </w:rPr>
      </w:pPr>
    </w:p>
    <w:p w14:paraId="509521CC" w14:textId="77777777" w:rsidR="002925B0" w:rsidRDefault="002925B0" w:rsidP="00696582">
      <w:pPr>
        <w:rPr>
          <w:rFonts w:cs="Arial"/>
          <w:b/>
        </w:rPr>
      </w:pPr>
      <w:r>
        <w:rPr>
          <w:rFonts w:cs="Arial"/>
          <w:b/>
        </w:rPr>
        <w:t>__________________________________________________________</w:t>
      </w:r>
    </w:p>
    <w:p w14:paraId="043E6CB3" w14:textId="77777777" w:rsidR="00D05B67" w:rsidRDefault="002925B0" w:rsidP="00696582">
      <w:pPr>
        <w:rPr>
          <w:rFonts w:cs="Arial"/>
          <w:b/>
        </w:rPr>
      </w:pPr>
      <w:r>
        <w:rPr>
          <w:rFonts w:cs="Arial"/>
          <w:b/>
        </w:rPr>
        <w:t>SEBASTIÁN DURÁN MÉNDEZ</w:t>
      </w:r>
    </w:p>
    <w:p w14:paraId="69DCBD7B" w14:textId="77777777" w:rsidR="002925B0" w:rsidRDefault="002925B0" w:rsidP="00696582">
      <w:pPr>
        <w:rPr>
          <w:rFonts w:cs="Arial"/>
          <w:b/>
        </w:rPr>
      </w:pPr>
      <w:r>
        <w:rPr>
          <w:rFonts w:cs="Arial"/>
          <w:b/>
        </w:rPr>
        <w:t>Subdirector de Regulación</w:t>
      </w:r>
    </w:p>
    <w:p w14:paraId="545E0933" w14:textId="77777777" w:rsidR="00D05B67" w:rsidRDefault="00D05B67" w:rsidP="00696582">
      <w:pPr>
        <w:rPr>
          <w:rFonts w:cs="Arial"/>
          <w:b/>
        </w:rPr>
      </w:pPr>
    </w:p>
    <w:p w14:paraId="3693CA7C" w14:textId="77777777" w:rsidR="002925B0" w:rsidRDefault="002925B0" w:rsidP="00696582">
      <w:pPr>
        <w:rPr>
          <w:rFonts w:cs="Arial"/>
          <w:b/>
        </w:rPr>
      </w:pPr>
    </w:p>
    <w:p w14:paraId="5ECBD288" w14:textId="77777777" w:rsidR="002925B0" w:rsidRDefault="002925B0" w:rsidP="00696582">
      <w:pPr>
        <w:rPr>
          <w:rFonts w:cs="Arial"/>
          <w:b/>
        </w:rPr>
      </w:pPr>
    </w:p>
    <w:p w14:paraId="4C58A34B" w14:textId="77777777" w:rsidR="002925B0" w:rsidRDefault="002925B0" w:rsidP="00696582">
      <w:pPr>
        <w:rPr>
          <w:rFonts w:cs="Arial"/>
          <w:b/>
        </w:rPr>
      </w:pPr>
    </w:p>
    <w:p w14:paraId="7F7D3FB2" w14:textId="77777777" w:rsidR="002925B0" w:rsidRDefault="002925B0" w:rsidP="00696582">
      <w:pPr>
        <w:rPr>
          <w:rFonts w:cs="Arial"/>
          <w:b/>
        </w:rPr>
      </w:pPr>
      <w:r>
        <w:rPr>
          <w:rFonts w:cs="Arial"/>
          <w:b/>
        </w:rPr>
        <w:t>__________________________________________________________</w:t>
      </w:r>
    </w:p>
    <w:p w14:paraId="03018C80" w14:textId="77777777" w:rsidR="002925B0" w:rsidRDefault="002925B0" w:rsidP="002925B0">
      <w:pPr>
        <w:rPr>
          <w:rFonts w:cs="Arial"/>
          <w:b/>
        </w:rPr>
      </w:pPr>
      <w:r>
        <w:rPr>
          <w:rFonts w:cs="Arial"/>
          <w:b/>
        </w:rPr>
        <w:t>SANTIAGO JORDÁN ARROYO</w:t>
      </w:r>
    </w:p>
    <w:p w14:paraId="6D77AF4A" w14:textId="77777777" w:rsidR="002925B0" w:rsidRDefault="002925B0" w:rsidP="002925B0">
      <w:pPr>
        <w:rPr>
          <w:rFonts w:cs="Arial"/>
          <w:b/>
        </w:rPr>
      </w:pPr>
      <w:r>
        <w:rPr>
          <w:rFonts w:cs="Arial"/>
          <w:b/>
        </w:rPr>
        <w:t>Funcionario Líder del Proyecto</w:t>
      </w:r>
    </w:p>
    <w:p w14:paraId="238C8AD8" w14:textId="77777777" w:rsidR="002925B0" w:rsidRDefault="002925B0" w:rsidP="00696582"/>
    <w:p w14:paraId="61B74CAB" w14:textId="77777777" w:rsidR="002925B0" w:rsidRDefault="002925B0" w:rsidP="00696582"/>
    <w:p w14:paraId="500531E8" w14:textId="77777777" w:rsidR="002925B0" w:rsidRDefault="002925B0" w:rsidP="00696582"/>
    <w:p w14:paraId="72587FCC" w14:textId="77777777" w:rsidR="002925B0" w:rsidRDefault="002925B0" w:rsidP="002925B0">
      <w:pPr>
        <w:rPr>
          <w:rFonts w:cs="Arial"/>
          <w:b/>
        </w:rPr>
      </w:pPr>
      <w:r>
        <w:rPr>
          <w:rFonts w:cs="Arial"/>
          <w:b/>
        </w:rPr>
        <w:t>__________________________________________________________</w:t>
      </w:r>
    </w:p>
    <w:p w14:paraId="482BB23D" w14:textId="77777777" w:rsidR="002925B0" w:rsidRDefault="002925B0" w:rsidP="002925B0">
      <w:pPr>
        <w:rPr>
          <w:rFonts w:cs="Arial"/>
          <w:b/>
        </w:rPr>
      </w:pPr>
      <w:r>
        <w:rPr>
          <w:rFonts w:cs="Arial"/>
          <w:b/>
        </w:rPr>
        <w:t>CARLOS IGNACIO BOLAÑOS DOMINGUEZ</w:t>
      </w:r>
    </w:p>
    <w:p w14:paraId="4F61B530" w14:textId="77777777" w:rsidR="002925B0" w:rsidRDefault="002925B0" w:rsidP="002925B0">
      <w:pPr>
        <w:rPr>
          <w:rFonts w:cs="Arial"/>
          <w:b/>
        </w:rPr>
      </w:pPr>
      <w:r>
        <w:rPr>
          <w:rFonts w:cs="Arial"/>
          <w:b/>
        </w:rPr>
        <w:t>Funcionario Líder del Proyecto</w:t>
      </w:r>
    </w:p>
    <w:p w14:paraId="7270C2E8" w14:textId="77777777" w:rsidR="002925B0" w:rsidRDefault="002925B0" w:rsidP="00696582"/>
    <w:p w14:paraId="6AF241A1" w14:textId="77777777" w:rsidR="002925B0" w:rsidRPr="00CE00F8" w:rsidRDefault="002925B0" w:rsidP="002925B0">
      <w:pPr>
        <w:pStyle w:val="Textoindependiente3"/>
        <w:rPr>
          <w:rFonts w:ascii="Verdana" w:hAnsi="Verdana" w:cs="Arial"/>
          <w:b/>
          <w:szCs w:val="22"/>
          <w:lang w:val="es-ES_tradnl"/>
        </w:rPr>
      </w:pPr>
    </w:p>
    <w:sectPr w:rsidR="002925B0" w:rsidRPr="00CE00F8" w:rsidSect="00696582">
      <w:headerReference w:type="default" r:id="rId11"/>
      <w:footerReference w:type="default" r:id="rId12"/>
      <w:headerReference w:type="first" r:id="rId13"/>
      <w:type w:val="continuous"/>
      <w:pgSz w:w="12240" w:h="15840" w:code="1"/>
      <w:pgMar w:top="1616" w:right="1701" w:bottom="1115"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6245" w14:textId="77777777" w:rsidR="00735EC6" w:rsidRDefault="00735EC6">
      <w:r>
        <w:separator/>
      </w:r>
    </w:p>
  </w:endnote>
  <w:endnote w:type="continuationSeparator" w:id="0">
    <w:p w14:paraId="37030161" w14:textId="77777777" w:rsidR="00735EC6" w:rsidRDefault="0073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E021" w14:textId="77777777" w:rsidR="00836C6A" w:rsidRDefault="00836C6A">
    <w:pPr>
      <w:pStyle w:val="Piedepgina"/>
      <w:jc w:val="right"/>
    </w:pPr>
    <w:r>
      <w:fldChar w:fldCharType="begin"/>
    </w:r>
    <w:r w:rsidR="000C5964">
      <w:instrText>PAGE</w:instrText>
    </w:r>
    <w:r>
      <w:instrText xml:space="preserve">   \* MERGEFORMAT</w:instrText>
    </w:r>
    <w:r>
      <w:fldChar w:fldCharType="separate"/>
    </w:r>
    <w:r w:rsidR="00C7145D">
      <w:rPr>
        <w:noProof/>
      </w:rPr>
      <w:t>2</w:t>
    </w:r>
    <w:r>
      <w:fldChar w:fldCharType="end"/>
    </w:r>
  </w:p>
  <w:p w14:paraId="42653C16" w14:textId="77777777" w:rsidR="00F07A7D" w:rsidRPr="0084294E" w:rsidRDefault="00F07A7D" w:rsidP="00FA4A9E">
    <w:pPr>
      <w:pStyle w:val="Piedepgina"/>
      <w:jc w:val="center"/>
      <w:rPr>
        <w:sz w:val="18"/>
        <w:szCs w:val="18"/>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55FB4" w14:textId="77777777" w:rsidR="00735EC6" w:rsidRDefault="00735EC6">
      <w:r>
        <w:separator/>
      </w:r>
    </w:p>
  </w:footnote>
  <w:footnote w:type="continuationSeparator" w:id="0">
    <w:p w14:paraId="3487D03B" w14:textId="77777777" w:rsidR="00735EC6" w:rsidRDefault="0073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9926" w14:textId="77777777" w:rsidR="00F07A7D" w:rsidRDefault="00F07A7D">
    <w:pPr>
      <w:pStyle w:val="Encabezado"/>
    </w:pPr>
  </w:p>
  <w:tbl>
    <w:tblPr>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6257"/>
    </w:tblGrid>
    <w:tr w:rsidR="00696582" w14:paraId="08952248" w14:textId="77777777" w:rsidTr="001447C1">
      <w:tc>
        <w:tcPr>
          <w:tcW w:w="4253" w:type="dxa"/>
        </w:tcPr>
        <w:p w14:paraId="453731E1" w14:textId="77777777" w:rsidR="00696582" w:rsidRDefault="00CB591E" w:rsidP="001447C1">
          <w:pPr>
            <w:pStyle w:val="Encabezado"/>
          </w:pPr>
          <w:r>
            <w:rPr>
              <w:noProof/>
              <w:lang w:val="es-ES_tradnl" w:eastAsia="es-ES_tradnl"/>
            </w:rPr>
            <w:pict w14:anchorId="22B9D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pt">
                <v:imagedata r:id="rId1" o:title="Logo-Gobierno-de-Colombia"/>
              </v:shape>
            </w:pict>
          </w:r>
        </w:p>
      </w:tc>
      <w:tc>
        <w:tcPr>
          <w:tcW w:w="6545" w:type="dxa"/>
          <w:vAlign w:val="center"/>
        </w:tcPr>
        <w:p w14:paraId="71814DDE" w14:textId="77777777" w:rsidR="00696582" w:rsidRDefault="00696582" w:rsidP="001447C1">
          <w:pPr>
            <w:pStyle w:val="Ttulo2"/>
            <w:ind w:left="72" w:right="72"/>
          </w:pPr>
          <w:r w:rsidRPr="00FD3D04">
            <w:rPr>
              <w:rFonts w:cs="Arial"/>
              <w:bCs/>
              <w:color w:val="000000"/>
              <w:sz w:val="24"/>
              <w:szCs w:val="24"/>
            </w:rPr>
            <w:t>FORMATO MEMORIA JUSTIFICATIVA</w:t>
          </w:r>
        </w:p>
      </w:tc>
    </w:tr>
  </w:tbl>
  <w:p w14:paraId="5C50D588" w14:textId="77777777" w:rsidR="00F07A7D"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6257"/>
    </w:tblGrid>
    <w:tr w:rsidR="00350767" w14:paraId="6C65F1EC" w14:textId="77777777" w:rsidTr="00FD3D04">
      <w:tc>
        <w:tcPr>
          <w:tcW w:w="4253" w:type="dxa"/>
        </w:tcPr>
        <w:p w14:paraId="797B3C99" w14:textId="77777777" w:rsidR="00350767" w:rsidRDefault="00CB591E">
          <w:pPr>
            <w:pStyle w:val="Encabezado"/>
          </w:pPr>
          <w:r>
            <w:rPr>
              <w:noProof/>
              <w:lang w:val="es-ES_tradnl" w:eastAsia="es-ES_tradnl"/>
            </w:rPr>
            <w:pict w14:anchorId="4E5D3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9pt">
                <v:imagedata r:id="rId1" o:title="Logo-Gobierno-de-Colombia"/>
              </v:shape>
            </w:pict>
          </w:r>
        </w:p>
      </w:tc>
      <w:tc>
        <w:tcPr>
          <w:tcW w:w="6545" w:type="dxa"/>
          <w:vAlign w:val="center"/>
        </w:tcPr>
        <w:p w14:paraId="07D0B2BF" w14:textId="77777777" w:rsidR="00350767" w:rsidRDefault="00350767" w:rsidP="00FD3D04">
          <w:pPr>
            <w:pStyle w:val="Ttulo2"/>
            <w:ind w:left="72" w:right="72"/>
          </w:pPr>
          <w:r w:rsidRPr="00FD3D04">
            <w:rPr>
              <w:rFonts w:cs="Arial"/>
              <w:bCs/>
              <w:color w:val="000000"/>
              <w:sz w:val="24"/>
              <w:szCs w:val="24"/>
            </w:rPr>
            <w:t>FORMATO MEMORIA JUSTIFICATIVA</w:t>
          </w:r>
        </w:p>
      </w:tc>
    </w:tr>
  </w:tbl>
  <w:p w14:paraId="1DFECED7" w14:textId="77777777" w:rsidR="00350767" w:rsidRDefault="003507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A57"/>
    <w:multiLevelType w:val="multilevel"/>
    <w:tmpl w:val="BA8AC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11006"/>
    <w:multiLevelType w:val="hybridMultilevel"/>
    <w:tmpl w:val="35381E4C"/>
    <w:lvl w:ilvl="0" w:tplc="B096E40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03450FE"/>
    <w:multiLevelType w:val="multilevel"/>
    <w:tmpl w:val="EF60B9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B62C56"/>
    <w:multiLevelType w:val="multilevel"/>
    <w:tmpl w:val="1180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3C5A9A"/>
    <w:multiLevelType w:val="multilevel"/>
    <w:tmpl w:val="2E7CAF8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CF3F93"/>
    <w:multiLevelType w:val="multilevel"/>
    <w:tmpl w:val="7AEC3D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6D2AD9"/>
    <w:multiLevelType w:val="multilevel"/>
    <w:tmpl w:val="FB28A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824EED"/>
    <w:multiLevelType w:val="hybridMultilevel"/>
    <w:tmpl w:val="78F00BD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6EA6FDB"/>
    <w:multiLevelType w:val="hybridMultilevel"/>
    <w:tmpl w:val="673AA1F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7F676A"/>
    <w:multiLevelType w:val="multilevel"/>
    <w:tmpl w:val="244C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8A2CA9"/>
    <w:multiLevelType w:val="hybridMultilevel"/>
    <w:tmpl w:val="1D1AF1E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3A7134D"/>
    <w:multiLevelType w:val="hybridMultilevel"/>
    <w:tmpl w:val="BAFCCEB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ECB0CD1"/>
    <w:multiLevelType w:val="multilevel"/>
    <w:tmpl w:val="A898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6B7726"/>
    <w:multiLevelType w:val="multilevel"/>
    <w:tmpl w:val="745EBD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C24AEF"/>
    <w:multiLevelType w:val="multilevel"/>
    <w:tmpl w:val="F552D1E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8B22B3"/>
    <w:multiLevelType w:val="hybridMultilevel"/>
    <w:tmpl w:val="B7A4AE8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B3951B3"/>
    <w:multiLevelType w:val="multilevel"/>
    <w:tmpl w:val="158AC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66095F"/>
    <w:multiLevelType w:val="multilevel"/>
    <w:tmpl w:val="4BC8B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16A7081"/>
    <w:multiLevelType w:val="multilevel"/>
    <w:tmpl w:val="BD200E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1A31D0"/>
    <w:multiLevelType w:val="hybridMultilevel"/>
    <w:tmpl w:val="1B167E6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9B64B01"/>
    <w:multiLevelType w:val="multilevel"/>
    <w:tmpl w:val="3CF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0C4933"/>
    <w:multiLevelType w:val="multilevel"/>
    <w:tmpl w:val="982420E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6D646D1D"/>
    <w:multiLevelType w:val="multilevel"/>
    <w:tmpl w:val="900A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3909EE"/>
    <w:multiLevelType w:val="multilevel"/>
    <w:tmpl w:val="D270AB46"/>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4CE4B20"/>
    <w:multiLevelType w:val="multilevel"/>
    <w:tmpl w:val="BFA0F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140B72"/>
    <w:multiLevelType w:val="multilevel"/>
    <w:tmpl w:val="980694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B177CF"/>
    <w:multiLevelType w:val="multilevel"/>
    <w:tmpl w:val="0E7AB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7C6E57"/>
    <w:multiLevelType w:val="multilevel"/>
    <w:tmpl w:val="BA2839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3753388">
    <w:abstractNumId w:val="7"/>
  </w:num>
  <w:num w:numId="2" w16cid:durableId="47805102">
    <w:abstractNumId w:val="13"/>
  </w:num>
  <w:num w:numId="3" w16cid:durableId="1279333017">
    <w:abstractNumId w:val="14"/>
  </w:num>
  <w:num w:numId="4" w16cid:durableId="704061688">
    <w:abstractNumId w:val="1"/>
  </w:num>
  <w:num w:numId="5" w16cid:durableId="228151602">
    <w:abstractNumId w:val="0"/>
  </w:num>
  <w:num w:numId="6" w16cid:durableId="992412526">
    <w:abstractNumId w:val="6"/>
  </w:num>
  <w:num w:numId="7" w16cid:durableId="807434109">
    <w:abstractNumId w:val="5"/>
  </w:num>
  <w:num w:numId="8" w16cid:durableId="1417895130">
    <w:abstractNumId w:val="2"/>
  </w:num>
  <w:num w:numId="9" w16cid:durableId="1331758063">
    <w:abstractNumId w:val="29"/>
  </w:num>
  <w:num w:numId="10" w16cid:durableId="534851329">
    <w:abstractNumId w:val="19"/>
  </w:num>
  <w:num w:numId="11" w16cid:durableId="129905253">
    <w:abstractNumId w:val="16"/>
  </w:num>
  <w:num w:numId="12" w16cid:durableId="423232064">
    <w:abstractNumId w:val="27"/>
  </w:num>
  <w:num w:numId="13" w16cid:durableId="1874031282">
    <w:abstractNumId w:val="4"/>
  </w:num>
  <w:num w:numId="14" w16cid:durableId="1728262459">
    <w:abstractNumId w:val="28"/>
  </w:num>
  <w:num w:numId="15" w16cid:durableId="1457261131">
    <w:abstractNumId w:val="12"/>
  </w:num>
  <w:num w:numId="16" w16cid:durableId="421099427">
    <w:abstractNumId w:val="15"/>
  </w:num>
  <w:num w:numId="17" w16cid:durableId="31420092">
    <w:abstractNumId w:val="20"/>
  </w:num>
  <w:num w:numId="18" w16cid:durableId="1792632475">
    <w:abstractNumId w:val="11"/>
  </w:num>
  <w:num w:numId="19" w16cid:durableId="383527011">
    <w:abstractNumId w:val="8"/>
  </w:num>
  <w:num w:numId="20" w16cid:durableId="711150585">
    <w:abstractNumId w:val="9"/>
  </w:num>
  <w:num w:numId="21" w16cid:durableId="1121918239">
    <w:abstractNumId w:val="17"/>
  </w:num>
  <w:num w:numId="22" w16cid:durableId="1888030219">
    <w:abstractNumId w:val="21"/>
  </w:num>
  <w:num w:numId="23" w16cid:durableId="1929732538">
    <w:abstractNumId w:val="3"/>
  </w:num>
  <w:num w:numId="24" w16cid:durableId="1504125514">
    <w:abstractNumId w:val="22"/>
  </w:num>
  <w:num w:numId="25" w16cid:durableId="381291473">
    <w:abstractNumId w:val="18"/>
  </w:num>
  <w:num w:numId="26" w16cid:durableId="355279957">
    <w:abstractNumId w:val="10"/>
  </w:num>
  <w:num w:numId="27" w16cid:durableId="83886375">
    <w:abstractNumId w:val="24"/>
  </w:num>
  <w:num w:numId="28" w16cid:durableId="1973558166">
    <w:abstractNumId w:val="26"/>
  </w:num>
  <w:num w:numId="29" w16cid:durableId="169679944">
    <w:abstractNumId w:val="25"/>
  </w:num>
  <w:num w:numId="30" w16cid:durableId="731850857">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6980"/>
    <w:rsid w:val="00003D24"/>
    <w:rsid w:val="00006F83"/>
    <w:rsid w:val="00007F07"/>
    <w:rsid w:val="00011F57"/>
    <w:rsid w:val="00013C42"/>
    <w:rsid w:val="00014D67"/>
    <w:rsid w:val="00016A94"/>
    <w:rsid w:val="00021FCC"/>
    <w:rsid w:val="00024F34"/>
    <w:rsid w:val="0002546A"/>
    <w:rsid w:val="00025E8A"/>
    <w:rsid w:val="00032CBF"/>
    <w:rsid w:val="00034452"/>
    <w:rsid w:val="0004205E"/>
    <w:rsid w:val="00042C64"/>
    <w:rsid w:val="00047A6E"/>
    <w:rsid w:val="00050524"/>
    <w:rsid w:val="00066463"/>
    <w:rsid w:val="00066F26"/>
    <w:rsid w:val="00071268"/>
    <w:rsid w:val="0007636F"/>
    <w:rsid w:val="00081CEE"/>
    <w:rsid w:val="00084B49"/>
    <w:rsid w:val="00086B16"/>
    <w:rsid w:val="00087A9B"/>
    <w:rsid w:val="00092C0A"/>
    <w:rsid w:val="00094D9F"/>
    <w:rsid w:val="0009745D"/>
    <w:rsid w:val="000A116B"/>
    <w:rsid w:val="000A35DA"/>
    <w:rsid w:val="000A3E34"/>
    <w:rsid w:val="000A4D48"/>
    <w:rsid w:val="000B30A6"/>
    <w:rsid w:val="000B39C5"/>
    <w:rsid w:val="000B50F1"/>
    <w:rsid w:val="000C41BE"/>
    <w:rsid w:val="000C5964"/>
    <w:rsid w:val="000C614C"/>
    <w:rsid w:val="000C6C52"/>
    <w:rsid w:val="000D1904"/>
    <w:rsid w:val="000D2DA8"/>
    <w:rsid w:val="000D48E8"/>
    <w:rsid w:val="000D512E"/>
    <w:rsid w:val="000E0152"/>
    <w:rsid w:val="000E370D"/>
    <w:rsid w:val="000E65A4"/>
    <w:rsid w:val="000F7337"/>
    <w:rsid w:val="0010111B"/>
    <w:rsid w:val="00105533"/>
    <w:rsid w:val="001072FB"/>
    <w:rsid w:val="00116659"/>
    <w:rsid w:val="001175AA"/>
    <w:rsid w:val="0011763B"/>
    <w:rsid w:val="00122071"/>
    <w:rsid w:val="00125A3A"/>
    <w:rsid w:val="00126916"/>
    <w:rsid w:val="00126980"/>
    <w:rsid w:val="001303DD"/>
    <w:rsid w:val="001319BA"/>
    <w:rsid w:val="001348DA"/>
    <w:rsid w:val="001365B5"/>
    <w:rsid w:val="00136CD0"/>
    <w:rsid w:val="0013737F"/>
    <w:rsid w:val="00140557"/>
    <w:rsid w:val="001425DE"/>
    <w:rsid w:val="00142BF2"/>
    <w:rsid w:val="001447C1"/>
    <w:rsid w:val="00145BCA"/>
    <w:rsid w:val="0015216F"/>
    <w:rsid w:val="00153523"/>
    <w:rsid w:val="00157729"/>
    <w:rsid w:val="001602EA"/>
    <w:rsid w:val="00164587"/>
    <w:rsid w:val="001665A3"/>
    <w:rsid w:val="001743EF"/>
    <w:rsid w:val="00174A31"/>
    <w:rsid w:val="00177232"/>
    <w:rsid w:val="00187186"/>
    <w:rsid w:val="0019736F"/>
    <w:rsid w:val="001978EB"/>
    <w:rsid w:val="001A2AF1"/>
    <w:rsid w:val="001C013E"/>
    <w:rsid w:val="001C020C"/>
    <w:rsid w:val="001D169D"/>
    <w:rsid w:val="001D1743"/>
    <w:rsid w:val="001D17CF"/>
    <w:rsid w:val="001E2543"/>
    <w:rsid w:val="001E6C60"/>
    <w:rsid w:val="001F140A"/>
    <w:rsid w:val="001F238A"/>
    <w:rsid w:val="002171A2"/>
    <w:rsid w:val="002217D1"/>
    <w:rsid w:val="002264B8"/>
    <w:rsid w:val="00230B3E"/>
    <w:rsid w:val="00235361"/>
    <w:rsid w:val="00236F62"/>
    <w:rsid w:val="00237D76"/>
    <w:rsid w:val="00245045"/>
    <w:rsid w:val="002468CC"/>
    <w:rsid w:val="002506E8"/>
    <w:rsid w:val="00251FCE"/>
    <w:rsid w:val="00252F13"/>
    <w:rsid w:val="00254313"/>
    <w:rsid w:val="002567C4"/>
    <w:rsid w:val="0026513E"/>
    <w:rsid w:val="002729A5"/>
    <w:rsid w:val="002800D3"/>
    <w:rsid w:val="00284675"/>
    <w:rsid w:val="002862C1"/>
    <w:rsid w:val="00286449"/>
    <w:rsid w:val="00287EC3"/>
    <w:rsid w:val="002925B0"/>
    <w:rsid w:val="00293F29"/>
    <w:rsid w:val="002941D1"/>
    <w:rsid w:val="002A2A12"/>
    <w:rsid w:val="002C05D0"/>
    <w:rsid w:val="002C6429"/>
    <w:rsid w:val="002D096D"/>
    <w:rsid w:val="002D11FE"/>
    <w:rsid w:val="002D2CB2"/>
    <w:rsid w:val="002D35EC"/>
    <w:rsid w:val="002D3FE3"/>
    <w:rsid w:val="002D5E8B"/>
    <w:rsid w:val="002E4A97"/>
    <w:rsid w:val="002E71C4"/>
    <w:rsid w:val="002F226A"/>
    <w:rsid w:val="00301DC2"/>
    <w:rsid w:val="00312A32"/>
    <w:rsid w:val="003227FD"/>
    <w:rsid w:val="00325A55"/>
    <w:rsid w:val="003343DB"/>
    <w:rsid w:val="00336655"/>
    <w:rsid w:val="00342B3C"/>
    <w:rsid w:val="00345F4B"/>
    <w:rsid w:val="00346554"/>
    <w:rsid w:val="003503EB"/>
    <w:rsid w:val="00350767"/>
    <w:rsid w:val="00350E4B"/>
    <w:rsid w:val="003533A1"/>
    <w:rsid w:val="003651DE"/>
    <w:rsid w:val="00367CB8"/>
    <w:rsid w:val="003711C0"/>
    <w:rsid w:val="00373197"/>
    <w:rsid w:val="0038390A"/>
    <w:rsid w:val="00387865"/>
    <w:rsid w:val="0039620F"/>
    <w:rsid w:val="003A0BBF"/>
    <w:rsid w:val="003A3C08"/>
    <w:rsid w:val="003A6449"/>
    <w:rsid w:val="003A73D2"/>
    <w:rsid w:val="003B2300"/>
    <w:rsid w:val="003B3F46"/>
    <w:rsid w:val="003B4DDE"/>
    <w:rsid w:val="003B625C"/>
    <w:rsid w:val="003C0C28"/>
    <w:rsid w:val="003C0F32"/>
    <w:rsid w:val="003C6CAC"/>
    <w:rsid w:val="003D3516"/>
    <w:rsid w:val="003E1394"/>
    <w:rsid w:val="003E582F"/>
    <w:rsid w:val="003F2CB3"/>
    <w:rsid w:val="00401B59"/>
    <w:rsid w:val="00405CE5"/>
    <w:rsid w:val="0041604F"/>
    <w:rsid w:val="00427DD9"/>
    <w:rsid w:val="004317DB"/>
    <w:rsid w:val="00432C5C"/>
    <w:rsid w:val="00437C19"/>
    <w:rsid w:val="00461D1F"/>
    <w:rsid w:val="00470148"/>
    <w:rsid w:val="00470526"/>
    <w:rsid w:val="00474CA7"/>
    <w:rsid w:val="00476356"/>
    <w:rsid w:val="004848A4"/>
    <w:rsid w:val="00490F5F"/>
    <w:rsid w:val="004A0755"/>
    <w:rsid w:val="004A6BE3"/>
    <w:rsid w:val="004B078F"/>
    <w:rsid w:val="004C4371"/>
    <w:rsid w:val="004C4AF6"/>
    <w:rsid w:val="004C7653"/>
    <w:rsid w:val="004C7D38"/>
    <w:rsid w:val="004D0D86"/>
    <w:rsid w:val="004D10C6"/>
    <w:rsid w:val="004D2643"/>
    <w:rsid w:val="004D294E"/>
    <w:rsid w:val="004D3D03"/>
    <w:rsid w:val="004D4586"/>
    <w:rsid w:val="004D6329"/>
    <w:rsid w:val="004E034B"/>
    <w:rsid w:val="004E17FC"/>
    <w:rsid w:val="004E274E"/>
    <w:rsid w:val="004E517F"/>
    <w:rsid w:val="004E6747"/>
    <w:rsid w:val="004F778E"/>
    <w:rsid w:val="004F7A38"/>
    <w:rsid w:val="0050148F"/>
    <w:rsid w:val="00502F91"/>
    <w:rsid w:val="00507863"/>
    <w:rsid w:val="00512524"/>
    <w:rsid w:val="00520AAA"/>
    <w:rsid w:val="00520B2A"/>
    <w:rsid w:val="005338E4"/>
    <w:rsid w:val="0054286C"/>
    <w:rsid w:val="00543462"/>
    <w:rsid w:val="00543E5A"/>
    <w:rsid w:val="00545A32"/>
    <w:rsid w:val="0054645F"/>
    <w:rsid w:val="005616ED"/>
    <w:rsid w:val="005629D0"/>
    <w:rsid w:val="00564A4E"/>
    <w:rsid w:val="00567495"/>
    <w:rsid w:val="00575C38"/>
    <w:rsid w:val="00580BB5"/>
    <w:rsid w:val="005815B6"/>
    <w:rsid w:val="00584E85"/>
    <w:rsid w:val="005871DA"/>
    <w:rsid w:val="00587695"/>
    <w:rsid w:val="0059054D"/>
    <w:rsid w:val="0059316B"/>
    <w:rsid w:val="005949A8"/>
    <w:rsid w:val="005A077D"/>
    <w:rsid w:val="005A4320"/>
    <w:rsid w:val="005A498D"/>
    <w:rsid w:val="005C19CA"/>
    <w:rsid w:val="005C4522"/>
    <w:rsid w:val="005D05D5"/>
    <w:rsid w:val="005D49BF"/>
    <w:rsid w:val="005D73EB"/>
    <w:rsid w:val="005E4BB3"/>
    <w:rsid w:val="005F30C3"/>
    <w:rsid w:val="005F7863"/>
    <w:rsid w:val="0060353B"/>
    <w:rsid w:val="00620876"/>
    <w:rsid w:val="00624FD0"/>
    <w:rsid w:val="006254D9"/>
    <w:rsid w:val="00630C5E"/>
    <w:rsid w:val="006315B4"/>
    <w:rsid w:val="00635AC3"/>
    <w:rsid w:val="00636FFB"/>
    <w:rsid w:val="00654CCF"/>
    <w:rsid w:val="00665D91"/>
    <w:rsid w:val="00665F82"/>
    <w:rsid w:val="00666B67"/>
    <w:rsid w:val="00667381"/>
    <w:rsid w:val="00667C4C"/>
    <w:rsid w:val="006710DB"/>
    <w:rsid w:val="0067186C"/>
    <w:rsid w:val="00671E11"/>
    <w:rsid w:val="00675427"/>
    <w:rsid w:val="0067747E"/>
    <w:rsid w:val="006779DA"/>
    <w:rsid w:val="00683649"/>
    <w:rsid w:val="00687EB3"/>
    <w:rsid w:val="00692980"/>
    <w:rsid w:val="00693246"/>
    <w:rsid w:val="00693E57"/>
    <w:rsid w:val="0069506F"/>
    <w:rsid w:val="00696582"/>
    <w:rsid w:val="006A1DBB"/>
    <w:rsid w:val="006A5D3A"/>
    <w:rsid w:val="006B4E40"/>
    <w:rsid w:val="006C103A"/>
    <w:rsid w:val="006C16D0"/>
    <w:rsid w:val="006C4E6A"/>
    <w:rsid w:val="006C50E8"/>
    <w:rsid w:val="006D1B07"/>
    <w:rsid w:val="006D464D"/>
    <w:rsid w:val="006E6F11"/>
    <w:rsid w:val="006F0B6B"/>
    <w:rsid w:val="006F0F5C"/>
    <w:rsid w:val="006F144D"/>
    <w:rsid w:val="006F461B"/>
    <w:rsid w:val="006F622C"/>
    <w:rsid w:val="006F649F"/>
    <w:rsid w:val="00700FF6"/>
    <w:rsid w:val="00701167"/>
    <w:rsid w:val="00704D44"/>
    <w:rsid w:val="00715A68"/>
    <w:rsid w:val="00715DD5"/>
    <w:rsid w:val="00715ECF"/>
    <w:rsid w:val="00717A04"/>
    <w:rsid w:val="00717BFE"/>
    <w:rsid w:val="007208C5"/>
    <w:rsid w:val="00725BB4"/>
    <w:rsid w:val="00725E18"/>
    <w:rsid w:val="00731414"/>
    <w:rsid w:val="0073180A"/>
    <w:rsid w:val="00732997"/>
    <w:rsid w:val="007336C3"/>
    <w:rsid w:val="00735033"/>
    <w:rsid w:val="00735EC6"/>
    <w:rsid w:val="00755D20"/>
    <w:rsid w:val="00756485"/>
    <w:rsid w:val="0075705D"/>
    <w:rsid w:val="00761B4B"/>
    <w:rsid w:val="007626E1"/>
    <w:rsid w:val="00767F65"/>
    <w:rsid w:val="00770D6C"/>
    <w:rsid w:val="00776017"/>
    <w:rsid w:val="0077634F"/>
    <w:rsid w:val="0078252C"/>
    <w:rsid w:val="00783515"/>
    <w:rsid w:val="00787C94"/>
    <w:rsid w:val="00791BCB"/>
    <w:rsid w:val="007921BD"/>
    <w:rsid w:val="00793A02"/>
    <w:rsid w:val="00795C6B"/>
    <w:rsid w:val="007A1566"/>
    <w:rsid w:val="007A3995"/>
    <w:rsid w:val="007A5AC5"/>
    <w:rsid w:val="007B5FB3"/>
    <w:rsid w:val="007B622D"/>
    <w:rsid w:val="007C4288"/>
    <w:rsid w:val="007C484E"/>
    <w:rsid w:val="007D1B4C"/>
    <w:rsid w:val="007D4853"/>
    <w:rsid w:val="007D57C4"/>
    <w:rsid w:val="007E0429"/>
    <w:rsid w:val="007E2443"/>
    <w:rsid w:val="007E41DE"/>
    <w:rsid w:val="007E4CE3"/>
    <w:rsid w:val="007E597A"/>
    <w:rsid w:val="007F226D"/>
    <w:rsid w:val="007F2B1F"/>
    <w:rsid w:val="00802F7A"/>
    <w:rsid w:val="00806A1C"/>
    <w:rsid w:val="0080773A"/>
    <w:rsid w:val="008106BF"/>
    <w:rsid w:val="00810CC4"/>
    <w:rsid w:val="008173F3"/>
    <w:rsid w:val="0082117C"/>
    <w:rsid w:val="008227E9"/>
    <w:rsid w:val="008252C5"/>
    <w:rsid w:val="00831860"/>
    <w:rsid w:val="00832F2D"/>
    <w:rsid w:val="00836C6A"/>
    <w:rsid w:val="0084097A"/>
    <w:rsid w:val="00841C9F"/>
    <w:rsid w:val="0084294E"/>
    <w:rsid w:val="00843EFF"/>
    <w:rsid w:val="008442A5"/>
    <w:rsid w:val="008477A9"/>
    <w:rsid w:val="0085416A"/>
    <w:rsid w:val="00856B0F"/>
    <w:rsid w:val="0086652D"/>
    <w:rsid w:val="008679AE"/>
    <w:rsid w:val="0087186A"/>
    <w:rsid w:val="00872C56"/>
    <w:rsid w:val="00874F67"/>
    <w:rsid w:val="00876AC2"/>
    <w:rsid w:val="00877E40"/>
    <w:rsid w:val="00883506"/>
    <w:rsid w:val="00883F43"/>
    <w:rsid w:val="00884C98"/>
    <w:rsid w:val="00884CE2"/>
    <w:rsid w:val="008852B8"/>
    <w:rsid w:val="00885E7D"/>
    <w:rsid w:val="0089363F"/>
    <w:rsid w:val="008940C4"/>
    <w:rsid w:val="00894D05"/>
    <w:rsid w:val="00896ED8"/>
    <w:rsid w:val="008A209D"/>
    <w:rsid w:val="008A2436"/>
    <w:rsid w:val="008A4E8C"/>
    <w:rsid w:val="008A563D"/>
    <w:rsid w:val="008B3B0A"/>
    <w:rsid w:val="008C2BA0"/>
    <w:rsid w:val="008C69F2"/>
    <w:rsid w:val="008D3E6C"/>
    <w:rsid w:val="008E04EC"/>
    <w:rsid w:val="008E099D"/>
    <w:rsid w:val="008E43F4"/>
    <w:rsid w:val="008F42F6"/>
    <w:rsid w:val="008F5282"/>
    <w:rsid w:val="008F771C"/>
    <w:rsid w:val="00912BAC"/>
    <w:rsid w:val="00925058"/>
    <w:rsid w:val="00926CDB"/>
    <w:rsid w:val="00930113"/>
    <w:rsid w:val="009356EC"/>
    <w:rsid w:val="00937FB2"/>
    <w:rsid w:val="0094114F"/>
    <w:rsid w:val="0095690D"/>
    <w:rsid w:val="009609C5"/>
    <w:rsid w:val="00963008"/>
    <w:rsid w:val="009649F8"/>
    <w:rsid w:val="00965B1A"/>
    <w:rsid w:val="00971B57"/>
    <w:rsid w:val="0097338C"/>
    <w:rsid w:val="00976933"/>
    <w:rsid w:val="00981893"/>
    <w:rsid w:val="00984974"/>
    <w:rsid w:val="00986438"/>
    <w:rsid w:val="00986F82"/>
    <w:rsid w:val="00987DBF"/>
    <w:rsid w:val="009970F9"/>
    <w:rsid w:val="009A5590"/>
    <w:rsid w:val="009C3837"/>
    <w:rsid w:val="009C44BD"/>
    <w:rsid w:val="009C537F"/>
    <w:rsid w:val="009D0585"/>
    <w:rsid w:val="009D2BB3"/>
    <w:rsid w:val="009E0846"/>
    <w:rsid w:val="009E1EF4"/>
    <w:rsid w:val="009E1F32"/>
    <w:rsid w:val="009E385B"/>
    <w:rsid w:val="009E47D1"/>
    <w:rsid w:val="009E4BD5"/>
    <w:rsid w:val="009F1BE0"/>
    <w:rsid w:val="009F7CED"/>
    <w:rsid w:val="00A04569"/>
    <w:rsid w:val="00A0736A"/>
    <w:rsid w:val="00A07DE7"/>
    <w:rsid w:val="00A1301A"/>
    <w:rsid w:val="00A14C37"/>
    <w:rsid w:val="00A161B9"/>
    <w:rsid w:val="00A219D7"/>
    <w:rsid w:val="00A2785C"/>
    <w:rsid w:val="00A30181"/>
    <w:rsid w:val="00A33DCF"/>
    <w:rsid w:val="00A377FE"/>
    <w:rsid w:val="00A4128C"/>
    <w:rsid w:val="00A41AEF"/>
    <w:rsid w:val="00A425E9"/>
    <w:rsid w:val="00A447B3"/>
    <w:rsid w:val="00A50084"/>
    <w:rsid w:val="00A500DD"/>
    <w:rsid w:val="00A52C3F"/>
    <w:rsid w:val="00A55CBE"/>
    <w:rsid w:val="00A55DB6"/>
    <w:rsid w:val="00A61784"/>
    <w:rsid w:val="00A64120"/>
    <w:rsid w:val="00A72973"/>
    <w:rsid w:val="00A74AFD"/>
    <w:rsid w:val="00A80613"/>
    <w:rsid w:val="00A83A98"/>
    <w:rsid w:val="00A85AEA"/>
    <w:rsid w:val="00A90736"/>
    <w:rsid w:val="00A94019"/>
    <w:rsid w:val="00AA093D"/>
    <w:rsid w:val="00AA28E8"/>
    <w:rsid w:val="00AA63F0"/>
    <w:rsid w:val="00AB0708"/>
    <w:rsid w:val="00AB0C45"/>
    <w:rsid w:val="00AB299C"/>
    <w:rsid w:val="00AB6652"/>
    <w:rsid w:val="00AC1AF8"/>
    <w:rsid w:val="00AC447D"/>
    <w:rsid w:val="00AD5446"/>
    <w:rsid w:val="00AD623F"/>
    <w:rsid w:val="00AD6E0F"/>
    <w:rsid w:val="00AE03F3"/>
    <w:rsid w:val="00AE0C2D"/>
    <w:rsid w:val="00AF3981"/>
    <w:rsid w:val="00AF5E71"/>
    <w:rsid w:val="00B13AE3"/>
    <w:rsid w:val="00B25550"/>
    <w:rsid w:val="00B258A0"/>
    <w:rsid w:val="00B30DCD"/>
    <w:rsid w:val="00B377D3"/>
    <w:rsid w:val="00B4178F"/>
    <w:rsid w:val="00B4216E"/>
    <w:rsid w:val="00B448DC"/>
    <w:rsid w:val="00B463AC"/>
    <w:rsid w:val="00B478E0"/>
    <w:rsid w:val="00B51095"/>
    <w:rsid w:val="00B53D22"/>
    <w:rsid w:val="00B6123C"/>
    <w:rsid w:val="00B61CA6"/>
    <w:rsid w:val="00B65F1B"/>
    <w:rsid w:val="00B66D03"/>
    <w:rsid w:val="00B7000F"/>
    <w:rsid w:val="00B729FC"/>
    <w:rsid w:val="00B73EC6"/>
    <w:rsid w:val="00B766E4"/>
    <w:rsid w:val="00B8326D"/>
    <w:rsid w:val="00B83703"/>
    <w:rsid w:val="00B84AF8"/>
    <w:rsid w:val="00B937B6"/>
    <w:rsid w:val="00B95A05"/>
    <w:rsid w:val="00BA450F"/>
    <w:rsid w:val="00BB17E4"/>
    <w:rsid w:val="00BB545F"/>
    <w:rsid w:val="00BB5C9A"/>
    <w:rsid w:val="00BD4B65"/>
    <w:rsid w:val="00BE0916"/>
    <w:rsid w:val="00BE280C"/>
    <w:rsid w:val="00BF054E"/>
    <w:rsid w:val="00BF0DB9"/>
    <w:rsid w:val="00BF29A1"/>
    <w:rsid w:val="00BF6D82"/>
    <w:rsid w:val="00C007FA"/>
    <w:rsid w:val="00C05A4E"/>
    <w:rsid w:val="00C12B93"/>
    <w:rsid w:val="00C134C3"/>
    <w:rsid w:val="00C24996"/>
    <w:rsid w:val="00C26C14"/>
    <w:rsid w:val="00C27D76"/>
    <w:rsid w:val="00C31D59"/>
    <w:rsid w:val="00C36892"/>
    <w:rsid w:val="00C4009A"/>
    <w:rsid w:val="00C401C2"/>
    <w:rsid w:val="00C4357B"/>
    <w:rsid w:val="00C46330"/>
    <w:rsid w:val="00C47F73"/>
    <w:rsid w:val="00C52E86"/>
    <w:rsid w:val="00C6077B"/>
    <w:rsid w:val="00C61441"/>
    <w:rsid w:val="00C7145D"/>
    <w:rsid w:val="00C7294E"/>
    <w:rsid w:val="00C75983"/>
    <w:rsid w:val="00C8132D"/>
    <w:rsid w:val="00C83DE1"/>
    <w:rsid w:val="00C85A35"/>
    <w:rsid w:val="00C91F90"/>
    <w:rsid w:val="00C97F9B"/>
    <w:rsid w:val="00CA0D8B"/>
    <w:rsid w:val="00CA57DF"/>
    <w:rsid w:val="00CA62BE"/>
    <w:rsid w:val="00CA68EB"/>
    <w:rsid w:val="00CB0063"/>
    <w:rsid w:val="00CB4D37"/>
    <w:rsid w:val="00CB591E"/>
    <w:rsid w:val="00CB66F7"/>
    <w:rsid w:val="00CC0C62"/>
    <w:rsid w:val="00CC259C"/>
    <w:rsid w:val="00CC42D1"/>
    <w:rsid w:val="00CC5B3E"/>
    <w:rsid w:val="00CE1A87"/>
    <w:rsid w:val="00CF25EF"/>
    <w:rsid w:val="00CF31AB"/>
    <w:rsid w:val="00D04A96"/>
    <w:rsid w:val="00D05B67"/>
    <w:rsid w:val="00D05D52"/>
    <w:rsid w:val="00D24980"/>
    <w:rsid w:val="00D24B1C"/>
    <w:rsid w:val="00D26D53"/>
    <w:rsid w:val="00D31F43"/>
    <w:rsid w:val="00D40E59"/>
    <w:rsid w:val="00D415E6"/>
    <w:rsid w:val="00D444C5"/>
    <w:rsid w:val="00D46FBF"/>
    <w:rsid w:val="00D5079B"/>
    <w:rsid w:val="00D52D91"/>
    <w:rsid w:val="00D530DC"/>
    <w:rsid w:val="00D62023"/>
    <w:rsid w:val="00D6248F"/>
    <w:rsid w:val="00D62B8B"/>
    <w:rsid w:val="00D64F2D"/>
    <w:rsid w:val="00D7070F"/>
    <w:rsid w:val="00D709DD"/>
    <w:rsid w:val="00D8294A"/>
    <w:rsid w:val="00D83F98"/>
    <w:rsid w:val="00D84A75"/>
    <w:rsid w:val="00D85F90"/>
    <w:rsid w:val="00D87F7E"/>
    <w:rsid w:val="00D90649"/>
    <w:rsid w:val="00D91E89"/>
    <w:rsid w:val="00D9213D"/>
    <w:rsid w:val="00D965B1"/>
    <w:rsid w:val="00D966FE"/>
    <w:rsid w:val="00D976E7"/>
    <w:rsid w:val="00D97DF9"/>
    <w:rsid w:val="00DA201A"/>
    <w:rsid w:val="00DA6526"/>
    <w:rsid w:val="00DA6C54"/>
    <w:rsid w:val="00DB4D47"/>
    <w:rsid w:val="00DC54A3"/>
    <w:rsid w:val="00DD181C"/>
    <w:rsid w:val="00DD2F2C"/>
    <w:rsid w:val="00DD48D9"/>
    <w:rsid w:val="00DE1540"/>
    <w:rsid w:val="00DE520C"/>
    <w:rsid w:val="00DE5260"/>
    <w:rsid w:val="00DF1E66"/>
    <w:rsid w:val="00DF60FD"/>
    <w:rsid w:val="00DF6410"/>
    <w:rsid w:val="00E007F7"/>
    <w:rsid w:val="00E00D84"/>
    <w:rsid w:val="00E0131F"/>
    <w:rsid w:val="00E05F18"/>
    <w:rsid w:val="00E06A27"/>
    <w:rsid w:val="00E12202"/>
    <w:rsid w:val="00E242C5"/>
    <w:rsid w:val="00E24673"/>
    <w:rsid w:val="00E24F26"/>
    <w:rsid w:val="00E261B4"/>
    <w:rsid w:val="00E31E85"/>
    <w:rsid w:val="00E407FF"/>
    <w:rsid w:val="00E40C34"/>
    <w:rsid w:val="00E41E2C"/>
    <w:rsid w:val="00E44207"/>
    <w:rsid w:val="00E56081"/>
    <w:rsid w:val="00E66C57"/>
    <w:rsid w:val="00E66D00"/>
    <w:rsid w:val="00E70BD0"/>
    <w:rsid w:val="00E7190C"/>
    <w:rsid w:val="00E7224C"/>
    <w:rsid w:val="00E729F2"/>
    <w:rsid w:val="00E75DBD"/>
    <w:rsid w:val="00E805D3"/>
    <w:rsid w:val="00E80826"/>
    <w:rsid w:val="00E8292C"/>
    <w:rsid w:val="00E84DA1"/>
    <w:rsid w:val="00E91332"/>
    <w:rsid w:val="00EA3045"/>
    <w:rsid w:val="00EC0FF4"/>
    <w:rsid w:val="00EC1DE8"/>
    <w:rsid w:val="00EC35AE"/>
    <w:rsid w:val="00ED4708"/>
    <w:rsid w:val="00ED4771"/>
    <w:rsid w:val="00EE0D69"/>
    <w:rsid w:val="00EE0F26"/>
    <w:rsid w:val="00EE2ABB"/>
    <w:rsid w:val="00EF192B"/>
    <w:rsid w:val="00F01448"/>
    <w:rsid w:val="00F0238F"/>
    <w:rsid w:val="00F06B8A"/>
    <w:rsid w:val="00F07A7D"/>
    <w:rsid w:val="00F153C1"/>
    <w:rsid w:val="00F16839"/>
    <w:rsid w:val="00F211E7"/>
    <w:rsid w:val="00F21D37"/>
    <w:rsid w:val="00F221F0"/>
    <w:rsid w:val="00F26136"/>
    <w:rsid w:val="00F26262"/>
    <w:rsid w:val="00F2713B"/>
    <w:rsid w:val="00F305D8"/>
    <w:rsid w:val="00F37106"/>
    <w:rsid w:val="00F44A2E"/>
    <w:rsid w:val="00F47D57"/>
    <w:rsid w:val="00F55DC4"/>
    <w:rsid w:val="00F576B3"/>
    <w:rsid w:val="00F61168"/>
    <w:rsid w:val="00F666AE"/>
    <w:rsid w:val="00F72D84"/>
    <w:rsid w:val="00F745E1"/>
    <w:rsid w:val="00F75667"/>
    <w:rsid w:val="00F75A79"/>
    <w:rsid w:val="00F7620E"/>
    <w:rsid w:val="00F775AD"/>
    <w:rsid w:val="00F80E07"/>
    <w:rsid w:val="00F90326"/>
    <w:rsid w:val="00F90F86"/>
    <w:rsid w:val="00F92DF0"/>
    <w:rsid w:val="00F96E32"/>
    <w:rsid w:val="00FA0454"/>
    <w:rsid w:val="00FA4A9E"/>
    <w:rsid w:val="00FB1012"/>
    <w:rsid w:val="00FB1248"/>
    <w:rsid w:val="00FB217D"/>
    <w:rsid w:val="00FB29CC"/>
    <w:rsid w:val="00FC0522"/>
    <w:rsid w:val="00FC2DE3"/>
    <w:rsid w:val="00FD3D04"/>
    <w:rsid w:val="00FD49A0"/>
    <w:rsid w:val="00FD6F96"/>
    <w:rsid w:val="00FE27DE"/>
    <w:rsid w:val="00FF66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57FC3"/>
  <w15:chartTrackingRefBased/>
  <w15:docId w15:val="{0F4C8C00-8F92-4D42-B11F-5ED796C9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Default">
    <w:name w:val="Default"/>
    <w:rsid w:val="00DF1E66"/>
    <w:pPr>
      <w:autoSpaceDE w:val="0"/>
      <w:autoSpaceDN w:val="0"/>
      <w:adjustRightInd w:val="0"/>
    </w:pPr>
    <w:rPr>
      <w:rFonts w:ascii="Arial" w:hAnsi="Arial" w:cs="Arial"/>
      <w:color w:val="000000"/>
      <w:sz w:val="24"/>
      <w:szCs w:val="24"/>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Fuerte">
    <w:name w:val="Strong"/>
    <w:aliases w:val="Texto en negrita"/>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rsid w:val="002925B0"/>
    <w:pPr>
      <w:spacing w:after="120"/>
    </w:pPr>
    <w:rPr>
      <w:sz w:val="16"/>
      <w:szCs w:val="16"/>
    </w:rPr>
  </w:style>
  <w:style w:type="character" w:customStyle="1" w:styleId="Textoindependiente3Car">
    <w:name w:val="Texto independiente 3 Car"/>
    <w:link w:val="Textoindependiente3"/>
    <w:rsid w:val="002925B0"/>
    <w:rPr>
      <w:rFonts w:ascii="Arial" w:hAnsi="Arial"/>
      <w:sz w:val="16"/>
      <w:szCs w:val="16"/>
      <w:lang w:val="es-ES" w:eastAsia="es-ES"/>
    </w:rPr>
  </w:style>
  <w:style w:type="paragraph" w:customStyle="1" w:styleId="isselectedend">
    <w:name w:val="isselectedend"/>
    <w:basedOn w:val="Normal"/>
    <w:rsid w:val="0067747E"/>
    <w:pPr>
      <w:spacing w:before="100" w:beforeAutospacing="1" w:after="100" w:afterAutospacing="1"/>
    </w:pPr>
    <w:rPr>
      <w:rFonts w:ascii="Times New Roman" w:hAnsi="Times New Roman"/>
      <w:sz w:val="24"/>
      <w:szCs w:val="24"/>
      <w:lang w:val="es-CO" w:eastAsia="es-CO"/>
    </w:rPr>
  </w:style>
  <w:style w:type="paragraph" w:styleId="Prrafodelista">
    <w:name w:val="List Paragraph"/>
    <w:basedOn w:val="Normal"/>
    <w:uiPriority w:val="72"/>
    <w:qFormat/>
    <w:rsid w:val="00683649"/>
    <w:pPr>
      <w:ind w:left="708"/>
    </w:pPr>
  </w:style>
  <w:style w:type="character" w:styleId="Mencinsinresolver">
    <w:name w:val="Unresolved Mention"/>
    <w:uiPriority w:val="99"/>
    <w:semiHidden/>
    <w:unhideWhenUsed/>
    <w:rsid w:val="00F61168"/>
    <w:rPr>
      <w:color w:val="605E5C"/>
      <w:shd w:val="clear" w:color="auto" w:fill="E1DFDD"/>
    </w:rPr>
  </w:style>
  <w:style w:type="paragraph" w:styleId="Revisin">
    <w:name w:val="Revision"/>
    <w:hidden/>
    <w:uiPriority w:val="71"/>
    <w:rsid w:val="002506E8"/>
    <w:rPr>
      <w:rFonts w:ascii="Arial" w:hAnsi="Arial"/>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290EDD85D54448945021AB426BB1AA" ma:contentTypeVersion="4" ma:contentTypeDescription="Create a new document." ma:contentTypeScope="" ma:versionID="098e3706ed5979f7f6c2f0831e6d0d1f">
  <xsd:schema xmlns:xsd="http://www.w3.org/2001/XMLSchema" xmlns:xs="http://www.w3.org/2001/XMLSchema" xmlns:p="http://schemas.microsoft.com/office/2006/metadata/properties" xmlns:ns2="2a2b5300-3ccb-49f7-9f7a-17baa5e872e9" targetNamespace="http://schemas.microsoft.com/office/2006/metadata/properties" ma:root="true" ma:fieldsID="123272e75384d636ca165b462bc20b7d" ns2:_="">
    <xsd:import namespace="2a2b5300-3ccb-49f7-9f7a-17baa5e872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b5300-3ccb-49f7-9f7a-17baa5e87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DBE2E-43E8-48D6-86C2-F99C927C80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54333-53F7-449F-A244-79754F5C1DED}">
  <ds:schemaRefs>
    <ds:schemaRef ds:uri="http://schemas.microsoft.com/sharepoint/v3/contenttype/forms"/>
  </ds:schemaRefs>
</ds:datastoreItem>
</file>

<file path=customXml/itemProps3.xml><?xml version="1.0" encoding="utf-8"?>
<ds:datastoreItem xmlns:ds="http://schemas.openxmlformats.org/officeDocument/2006/customXml" ds:itemID="{B9F11A19-A75D-4535-9D60-8DE064E7C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b5300-3ccb-49f7-9f7a-17baa5e872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94EC5-52D9-4929-B3D2-A7B03D9194B9}">
  <ds:schemaRefs>
    <ds:schemaRef ds:uri="http://schemas.openxmlformats.org/officeDocument/2006/bibliography"/>
  </ds:schemaRefs>
</ds:datastoreItem>
</file>

<file path=docMetadata/LabelInfo.xml><?xml version="1.0" encoding="utf-8"?>
<clbl:labelList xmlns:clbl="http://schemas.microsoft.com/office/2020/mipLabelMetadata">
  <clbl:label id="{54ce047a-5408-4222-b374-baf2709ff49a}" enabled="1" method="Standard" siteId="{eafff98e-79a5-4bb5-918f-0a7a14c4bbef}" removed="0"/>
</clbl:labelList>
</file>

<file path=docProps/app.xml><?xml version="1.0" encoding="utf-8"?>
<Properties xmlns="http://schemas.openxmlformats.org/officeDocument/2006/extended-properties" xmlns:vt="http://schemas.openxmlformats.org/officeDocument/2006/docPropsVTypes">
  <Template>Normal</Template>
  <TotalTime>15</TotalTime>
  <Pages>15</Pages>
  <Words>5653</Words>
  <Characters>31094</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Formato Memoria Justificativa</vt:lpstr>
    </vt:vector>
  </TitlesOfParts>
  <Company>dafp</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Carlos Ignacio Bolanos Dominguez</cp:lastModifiedBy>
  <cp:revision>15</cp:revision>
  <cp:lastPrinted>2026-06-11T20:04:00Z</cp:lastPrinted>
  <dcterms:created xsi:type="dcterms:W3CDTF">2026-08-28T17:05:00Z</dcterms:created>
  <dcterms:modified xsi:type="dcterms:W3CDTF">2026-08-28T20:25:00Z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0x0101003F290EDD85D54448945021AB426BB1AA</vt:lpwstr>
  </property>
</Properties>
</file>